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DCDFA" w14:textId="77777777" w:rsidR="0023263A" w:rsidRDefault="0023263A" w:rsidP="0023263A">
      <w:pPr>
        <w:pBdr>
          <w:bottom w:val="single" w:sz="14" w:space="8" w:color="DA121A"/>
        </w:pBdr>
        <w:spacing w:after="80"/>
      </w:pPr>
      <w:r>
        <w:rPr>
          <w:b/>
          <w:color w:val="072357"/>
          <w:sz w:val="34"/>
        </w:rPr>
        <w:t>Anexo G — Rúbrica de evaluación</w:t>
      </w:r>
    </w:p>
    <w:p w14:paraId="6803B341" w14:textId="77777777" w:rsidR="0023263A" w:rsidRDefault="0023263A" w:rsidP="0023263A">
      <w:pPr>
        <w:spacing w:after="40"/>
      </w:pPr>
      <w:r>
        <w:rPr>
          <w:b/>
          <w:color w:val="072357"/>
        </w:rPr>
        <w:t>Convocatoria AMP 2026 · AMP-CE-2026</w:t>
      </w:r>
    </w:p>
    <w:p w14:paraId="7100B0BB" w14:textId="77777777" w:rsidR="0023263A" w:rsidRDefault="0023263A" w:rsidP="0023263A">
      <w:pPr>
        <w:spacing w:after="120"/>
      </w:pPr>
      <w:r>
        <w:rPr>
          <w:color w:val="5C6779"/>
        </w:rPr>
        <w:t>Selección de empresas participantes del Programa Acelerando la Microelectrónica Panameña</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3863"/>
        <w:gridCol w:w="5775"/>
      </w:tblGrid>
      <w:tr w:rsidR="0023263A" w14:paraId="35592515" w14:textId="77777777" w:rsidTr="003B0FC0">
        <w:trPr>
          <w:jc w:val="center"/>
        </w:trPr>
        <w:tc>
          <w:tcPr>
            <w:tcW w:w="4844" w:type="dxa"/>
            <w:shd w:val="clear" w:color="auto" w:fill="072357"/>
          </w:tcPr>
          <w:p w14:paraId="4288FA42" w14:textId="77777777" w:rsidR="0023263A" w:rsidRDefault="0023263A" w:rsidP="003B0FC0">
            <w:pPr>
              <w:spacing w:after="40"/>
            </w:pPr>
            <w:r>
              <w:rPr>
                <w:b/>
                <w:color w:val="FFFFFF"/>
                <w:sz w:val="17"/>
              </w:rPr>
              <w:t>Campo</w:t>
            </w:r>
          </w:p>
        </w:tc>
        <w:tc>
          <w:tcPr>
            <w:tcW w:w="4844" w:type="dxa"/>
            <w:shd w:val="clear" w:color="auto" w:fill="072357"/>
          </w:tcPr>
          <w:p w14:paraId="1BF5876D" w14:textId="77777777" w:rsidR="0023263A" w:rsidRDefault="0023263A" w:rsidP="003B0FC0">
            <w:pPr>
              <w:spacing w:after="40"/>
            </w:pPr>
            <w:r>
              <w:rPr>
                <w:b/>
                <w:color w:val="FFFFFF"/>
                <w:sz w:val="17"/>
              </w:rPr>
              <w:t>Valor</w:t>
            </w:r>
          </w:p>
        </w:tc>
      </w:tr>
      <w:tr w:rsidR="0023263A" w:rsidRPr="0023263A" w14:paraId="54ED9600" w14:textId="77777777" w:rsidTr="003B0FC0">
        <w:trPr>
          <w:jc w:val="center"/>
        </w:trPr>
        <w:tc>
          <w:tcPr>
            <w:tcW w:w="2422" w:type="dxa"/>
          </w:tcPr>
          <w:p w14:paraId="37F07138" w14:textId="77777777" w:rsidR="0023263A" w:rsidRDefault="0023263A" w:rsidP="003B0FC0">
            <w:pPr>
              <w:spacing w:after="40"/>
            </w:pPr>
            <w:r>
              <w:rPr>
                <w:color w:val="1A1A1A"/>
                <w:sz w:val="18"/>
              </w:rPr>
              <w:t>Código</w:t>
            </w:r>
          </w:p>
        </w:tc>
        <w:tc>
          <w:tcPr>
            <w:tcW w:w="7266" w:type="dxa"/>
          </w:tcPr>
          <w:p w14:paraId="1E343BFA" w14:textId="77777777" w:rsidR="0023263A" w:rsidRPr="0023263A" w:rsidRDefault="0023263A" w:rsidP="003B0FC0">
            <w:pPr>
              <w:spacing w:after="40"/>
              <w:rPr>
                <w:lang w:val="pt-BR"/>
              </w:rPr>
            </w:pPr>
            <w:r w:rsidRPr="0023263A">
              <w:rPr>
                <w:color w:val="1A1A1A"/>
                <w:sz w:val="18"/>
                <w:lang w:val="pt-BR"/>
              </w:rPr>
              <w:t>CL-AMP-DOC-anexo-g-rubrica-260907_v2_1</w:t>
            </w:r>
          </w:p>
        </w:tc>
      </w:tr>
      <w:tr w:rsidR="0023263A" w14:paraId="771AD129" w14:textId="77777777" w:rsidTr="003B0FC0">
        <w:trPr>
          <w:jc w:val="center"/>
        </w:trPr>
        <w:tc>
          <w:tcPr>
            <w:tcW w:w="2422" w:type="dxa"/>
            <w:shd w:val="clear" w:color="auto" w:fill="F5F7FA"/>
          </w:tcPr>
          <w:p w14:paraId="39A04FF9" w14:textId="77777777" w:rsidR="0023263A" w:rsidRDefault="0023263A" w:rsidP="003B0FC0">
            <w:pPr>
              <w:spacing w:after="40"/>
            </w:pPr>
            <w:r>
              <w:rPr>
                <w:color w:val="1A1A1A"/>
                <w:sz w:val="18"/>
              </w:rPr>
              <w:t>Convoca</w:t>
            </w:r>
          </w:p>
        </w:tc>
        <w:tc>
          <w:tcPr>
            <w:tcW w:w="7266" w:type="dxa"/>
            <w:shd w:val="clear" w:color="auto" w:fill="F5F7FA"/>
          </w:tcPr>
          <w:p w14:paraId="5628D25B" w14:textId="77777777" w:rsidR="0023263A" w:rsidRDefault="0023263A" w:rsidP="003B0FC0">
            <w:pPr>
              <w:spacing w:after="40"/>
            </w:pPr>
            <w:r>
              <w:rPr>
                <w:color w:val="1A1A1A"/>
                <w:sz w:val="18"/>
              </w:rPr>
              <w:t>C-TASC AIP · Subdirección de Vinculación y Transferencia Tecnológica</w:t>
            </w:r>
          </w:p>
        </w:tc>
      </w:tr>
      <w:tr w:rsidR="0023263A" w14:paraId="108299BF" w14:textId="77777777" w:rsidTr="003B0FC0">
        <w:trPr>
          <w:jc w:val="center"/>
        </w:trPr>
        <w:tc>
          <w:tcPr>
            <w:tcW w:w="2422" w:type="dxa"/>
          </w:tcPr>
          <w:p w14:paraId="5AD70582" w14:textId="77777777" w:rsidR="0023263A" w:rsidRDefault="0023263A" w:rsidP="003B0FC0">
            <w:pPr>
              <w:spacing w:after="40"/>
            </w:pPr>
            <w:r>
              <w:rPr>
                <w:color w:val="1A1A1A"/>
                <w:sz w:val="18"/>
              </w:rPr>
              <w:t>Versión</w:t>
            </w:r>
          </w:p>
        </w:tc>
        <w:tc>
          <w:tcPr>
            <w:tcW w:w="7266" w:type="dxa"/>
          </w:tcPr>
          <w:p w14:paraId="05FB308F" w14:textId="77777777" w:rsidR="0023263A" w:rsidRDefault="0023263A" w:rsidP="003B0FC0">
            <w:pPr>
              <w:spacing w:after="40"/>
            </w:pPr>
            <w:r>
              <w:rPr>
                <w:color w:val="1A1A1A"/>
                <w:sz w:val="18"/>
              </w:rPr>
              <w:t>Versión 2.1 · 21 de septiembre de 2026</w:t>
            </w:r>
          </w:p>
        </w:tc>
      </w:tr>
    </w:tbl>
    <w:p w14:paraId="23911E52" w14:textId="77777777" w:rsidR="0023263A" w:rsidRDefault="0023263A" w:rsidP="0023263A">
      <w:pPr>
        <w:pStyle w:val="Ttulo1"/>
        <w:pBdr>
          <w:bottom w:val="single" w:sz="6" w:space="6" w:color="072357"/>
        </w:pBdr>
        <w:spacing w:before="340" w:after="140"/>
      </w:pPr>
      <w:r>
        <w:rPr>
          <w:rFonts w:ascii="Arial" w:hAnsi="Arial"/>
          <w:b/>
          <w:color w:val="072357"/>
          <w:sz w:val="25"/>
        </w:rPr>
        <w:t>1. Objeto</w:t>
      </w:r>
    </w:p>
    <w:p w14:paraId="1145013D" w14:textId="77777777" w:rsidR="0023263A" w:rsidRDefault="0023263A" w:rsidP="0023263A">
      <w:pPr>
        <w:spacing w:after="120"/>
        <w:jc w:val="both"/>
      </w:pPr>
      <w:r>
        <w:rPr>
          <w:color w:val="1A1A1A"/>
        </w:rPr>
        <w:t>Este anexo desarrolla las secciones 9 y 10 de las Bases. Publica los descriptores con los que se puntúa cada criterio, de modo que la empresa postulante conozca de antemano la regla con la que va a ser medida. La rúbrica se aplica por igual a todas las postulaciones admitidas.</w:t>
      </w:r>
    </w:p>
    <w:p w14:paraId="1F4D45A6" w14:textId="77777777" w:rsidR="0023263A" w:rsidRDefault="0023263A" w:rsidP="0023263A">
      <w:pPr>
        <w:spacing w:after="120"/>
        <w:jc w:val="both"/>
      </w:pPr>
      <w:r>
        <w:rPr>
          <w:color w:val="1A1A1A"/>
          <w:sz w:val="20"/>
        </w:rPr>
        <w:t>No sustituye a las Bases. En caso de discrepancia entre este anexo y las Bases, prevalecen las Bases.</w:t>
      </w:r>
    </w:p>
    <w:p w14:paraId="7275A587" w14:textId="77777777" w:rsidR="0023263A" w:rsidRDefault="0023263A" w:rsidP="0023263A">
      <w:pPr>
        <w:pStyle w:val="Ttulo1"/>
        <w:pBdr>
          <w:bottom w:val="single" w:sz="6" w:space="6" w:color="072357"/>
        </w:pBdr>
        <w:spacing w:before="340" w:after="140"/>
      </w:pPr>
      <w:r>
        <w:rPr>
          <w:rFonts w:ascii="Arial" w:hAnsi="Arial"/>
          <w:b/>
          <w:color w:val="072357"/>
          <w:sz w:val="25"/>
        </w:rPr>
        <w:t>2. Secuencia de evaluación</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421"/>
        <w:gridCol w:w="2693"/>
        <w:gridCol w:w="3544"/>
        <w:gridCol w:w="2980"/>
      </w:tblGrid>
      <w:tr w:rsidR="0023263A" w14:paraId="5536FF39" w14:textId="77777777" w:rsidTr="005947FD">
        <w:trPr>
          <w:jc w:val="center"/>
        </w:trPr>
        <w:tc>
          <w:tcPr>
            <w:tcW w:w="421" w:type="dxa"/>
            <w:shd w:val="clear" w:color="auto" w:fill="072357"/>
          </w:tcPr>
          <w:p w14:paraId="265C1D09" w14:textId="77777777" w:rsidR="0023263A" w:rsidRDefault="0023263A" w:rsidP="003B0FC0">
            <w:pPr>
              <w:spacing w:after="40"/>
            </w:pPr>
            <w:r>
              <w:rPr>
                <w:b/>
                <w:color w:val="FFFFFF"/>
                <w:sz w:val="17"/>
              </w:rPr>
              <w:t>#</w:t>
            </w:r>
          </w:p>
        </w:tc>
        <w:tc>
          <w:tcPr>
            <w:tcW w:w="2693" w:type="dxa"/>
            <w:shd w:val="clear" w:color="auto" w:fill="072357"/>
          </w:tcPr>
          <w:p w14:paraId="36D2B8D0" w14:textId="77777777" w:rsidR="0023263A" w:rsidRDefault="0023263A" w:rsidP="003B0FC0">
            <w:pPr>
              <w:spacing w:after="40"/>
            </w:pPr>
            <w:r>
              <w:rPr>
                <w:b/>
                <w:color w:val="FFFFFF"/>
                <w:sz w:val="17"/>
              </w:rPr>
              <w:t>Etapa</w:t>
            </w:r>
          </w:p>
        </w:tc>
        <w:tc>
          <w:tcPr>
            <w:tcW w:w="3544" w:type="dxa"/>
            <w:shd w:val="clear" w:color="auto" w:fill="072357"/>
          </w:tcPr>
          <w:p w14:paraId="4D08D589" w14:textId="77777777" w:rsidR="0023263A" w:rsidRDefault="0023263A" w:rsidP="003B0FC0">
            <w:pPr>
              <w:spacing w:after="40"/>
            </w:pPr>
            <w:r>
              <w:rPr>
                <w:b/>
                <w:color w:val="FFFFFF"/>
                <w:sz w:val="17"/>
              </w:rPr>
              <w:t>Quién</w:t>
            </w:r>
          </w:p>
        </w:tc>
        <w:tc>
          <w:tcPr>
            <w:tcW w:w="2980" w:type="dxa"/>
            <w:shd w:val="clear" w:color="auto" w:fill="072357"/>
          </w:tcPr>
          <w:p w14:paraId="66F4B7AB" w14:textId="77777777" w:rsidR="0023263A" w:rsidRDefault="0023263A" w:rsidP="003B0FC0">
            <w:pPr>
              <w:spacing w:after="40"/>
            </w:pPr>
            <w:r>
              <w:rPr>
                <w:b/>
                <w:color w:val="FFFFFF"/>
                <w:sz w:val="17"/>
              </w:rPr>
              <w:t>Resultado</w:t>
            </w:r>
          </w:p>
        </w:tc>
      </w:tr>
      <w:tr w:rsidR="0023263A" w14:paraId="510F32EE" w14:textId="77777777" w:rsidTr="005947FD">
        <w:trPr>
          <w:jc w:val="center"/>
        </w:trPr>
        <w:tc>
          <w:tcPr>
            <w:tcW w:w="421" w:type="dxa"/>
          </w:tcPr>
          <w:p w14:paraId="39EA2152" w14:textId="77777777" w:rsidR="0023263A" w:rsidRDefault="0023263A" w:rsidP="003B0FC0">
            <w:pPr>
              <w:spacing w:after="40"/>
            </w:pPr>
            <w:r>
              <w:rPr>
                <w:color w:val="1A1A1A"/>
                <w:sz w:val="18"/>
              </w:rPr>
              <w:t>1</w:t>
            </w:r>
          </w:p>
        </w:tc>
        <w:tc>
          <w:tcPr>
            <w:tcW w:w="2693" w:type="dxa"/>
          </w:tcPr>
          <w:p w14:paraId="660D2B0B" w14:textId="77777777" w:rsidR="0023263A" w:rsidRDefault="0023263A" w:rsidP="003B0FC0">
            <w:pPr>
              <w:spacing w:after="40"/>
            </w:pPr>
            <w:r>
              <w:rPr>
                <w:color w:val="1A1A1A"/>
                <w:sz w:val="18"/>
              </w:rPr>
              <w:t>Verificación de requisitos formales y de los criterios de elegibilidad</w:t>
            </w:r>
          </w:p>
        </w:tc>
        <w:tc>
          <w:tcPr>
            <w:tcW w:w="3544" w:type="dxa"/>
          </w:tcPr>
          <w:p w14:paraId="22392030" w14:textId="77777777" w:rsidR="0023263A" w:rsidRDefault="0023263A" w:rsidP="003B0FC0">
            <w:pPr>
              <w:spacing w:after="40"/>
            </w:pPr>
            <w:r>
              <w:rPr>
                <w:color w:val="1A1A1A"/>
                <w:sz w:val="18"/>
              </w:rPr>
              <w:t>C-TASC AIP</w:t>
            </w:r>
          </w:p>
        </w:tc>
        <w:tc>
          <w:tcPr>
            <w:tcW w:w="2980" w:type="dxa"/>
          </w:tcPr>
          <w:p w14:paraId="04948717" w14:textId="77777777" w:rsidR="0023263A" w:rsidRDefault="0023263A" w:rsidP="003B0FC0">
            <w:pPr>
              <w:spacing w:after="40"/>
            </w:pPr>
            <w:r>
              <w:rPr>
                <w:color w:val="1A1A1A"/>
                <w:sz w:val="18"/>
              </w:rPr>
              <w:t>Admitida, o no admitida con notificación motivada</w:t>
            </w:r>
          </w:p>
        </w:tc>
      </w:tr>
      <w:tr w:rsidR="0023263A" w14:paraId="413DE794" w14:textId="77777777" w:rsidTr="005947FD">
        <w:trPr>
          <w:jc w:val="center"/>
        </w:trPr>
        <w:tc>
          <w:tcPr>
            <w:tcW w:w="421" w:type="dxa"/>
            <w:shd w:val="clear" w:color="auto" w:fill="F5F7FA"/>
          </w:tcPr>
          <w:p w14:paraId="4F21A96E" w14:textId="77777777" w:rsidR="0023263A" w:rsidRDefault="0023263A" w:rsidP="003B0FC0">
            <w:pPr>
              <w:spacing w:after="40"/>
            </w:pPr>
            <w:r>
              <w:rPr>
                <w:color w:val="1A1A1A"/>
                <w:sz w:val="18"/>
              </w:rPr>
              <w:t>2</w:t>
            </w:r>
          </w:p>
        </w:tc>
        <w:tc>
          <w:tcPr>
            <w:tcW w:w="2693" w:type="dxa"/>
            <w:shd w:val="clear" w:color="auto" w:fill="F5F7FA"/>
          </w:tcPr>
          <w:p w14:paraId="596DBA0D" w14:textId="77777777" w:rsidR="0023263A" w:rsidRDefault="0023263A" w:rsidP="003B0FC0">
            <w:pPr>
              <w:spacing w:after="40"/>
            </w:pPr>
            <w:r>
              <w:rPr>
                <w:color w:val="1A1A1A"/>
                <w:sz w:val="18"/>
              </w:rPr>
              <w:t>Veredicto de factibilidad</w:t>
            </w:r>
          </w:p>
        </w:tc>
        <w:tc>
          <w:tcPr>
            <w:tcW w:w="3544" w:type="dxa"/>
            <w:shd w:val="clear" w:color="auto" w:fill="F5F7FA"/>
          </w:tcPr>
          <w:p w14:paraId="61875D70" w14:textId="77777777" w:rsidR="0023263A" w:rsidRDefault="0023263A" w:rsidP="003B0FC0">
            <w:pPr>
              <w:spacing w:after="40"/>
            </w:pPr>
            <w:r>
              <w:rPr>
                <w:color w:val="1A1A1A"/>
                <w:sz w:val="18"/>
              </w:rPr>
              <w:t>Evaluador técnico externo, ratificado por el Comité Evaluador</w:t>
            </w:r>
          </w:p>
        </w:tc>
        <w:tc>
          <w:tcPr>
            <w:tcW w:w="2980" w:type="dxa"/>
            <w:shd w:val="clear" w:color="auto" w:fill="F5F7FA"/>
          </w:tcPr>
          <w:p w14:paraId="21186DED" w14:textId="77777777" w:rsidR="0023263A" w:rsidRDefault="0023263A" w:rsidP="003B0FC0">
            <w:pPr>
              <w:spacing w:after="40"/>
            </w:pPr>
            <w:r>
              <w:rPr>
                <w:color w:val="1A1A1A"/>
                <w:sz w:val="18"/>
              </w:rPr>
              <w:t>Continúa · continúa con ajustes · excluida del orden de mérito</w:t>
            </w:r>
          </w:p>
        </w:tc>
      </w:tr>
      <w:tr w:rsidR="0023263A" w14:paraId="12511D3F" w14:textId="77777777" w:rsidTr="005947FD">
        <w:trPr>
          <w:jc w:val="center"/>
        </w:trPr>
        <w:tc>
          <w:tcPr>
            <w:tcW w:w="421" w:type="dxa"/>
          </w:tcPr>
          <w:p w14:paraId="7EE9E15E" w14:textId="77777777" w:rsidR="0023263A" w:rsidRDefault="0023263A" w:rsidP="003B0FC0">
            <w:pPr>
              <w:spacing w:after="40"/>
            </w:pPr>
            <w:r>
              <w:rPr>
                <w:color w:val="1A1A1A"/>
                <w:sz w:val="18"/>
              </w:rPr>
              <w:t>3</w:t>
            </w:r>
          </w:p>
        </w:tc>
        <w:tc>
          <w:tcPr>
            <w:tcW w:w="2693" w:type="dxa"/>
          </w:tcPr>
          <w:p w14:paraId="6D77D3B9" w14:textId="77777777" w:rsidR="0023263A" w:rsidRDefault="0023263A" w:rsidP="003B0FC0">
            <w:pPr>
              <w:spacing w:after="40"/>
            </w:pPr>
            <w:r>
              <w:rPr>
                <w:color w:val="1A1A1A"/>
                <w:sz w:val="18"/>
              </w:rPr>
              <w:t>Puntuación de los seis criterios</w:t>
            </w:r>
          </w:p>
        </w:tc>
        <w:tc>
          <w:tcPr>
            <w:tcW w:w="3544" w:type="dxa"/>
          </w:tcPr>
          <w:p w14:paraId="290254B9" w14:textId="77777777" w:rsidR="0023263A" w:rsidRDefault="0023263A" w:rsidP="003B0FC0">
            <w:pPr>
              <w:spacing w:after="40"/>
            </w:pPr>
            <w:r>
              <w:rPr>
                <w:color w:val="1A1A1A"/>
                <w:sz w:val="18"/>
              </w:rPr>
              <w:t>Evaluador técnico externo y Comité Evaluador</w:t>
            </w:r>
          </w:p>
        </w:tc>
        <w:tc>
          <w:tcPr>
            <w:tcW w:w="2980" w:type="dxa"/>
          </w:tcPr>
          <w:p w14:paraId="59790211" w14:textId="77777777" w:rsidR="0023263A" w:rsidRDefault="0023263A" w:rsidP="003B0FC0">
            <w:pPr>
              <w:spacing w:after="40"/>
            </w:pPr>
            <w:r>
              <w:rPr>
                <w:color w:val="1A1A1A"/>
                <w:sz w:val="18"/>
              </w:rPr>
              <w:t>Puntaje sobre 100</w:t>
            </w:r>
          </w:p>
        </w:tc>
      </w:tr>
      <w:tr w:rsidR="0023263A" w14:paraId="35E9DD2C" w14:textId="77777777" w:rsidTr="005947FD">
        <w:trPr>
          <w:jc w:val="center"/>
        </w:trPr>
        <w:tc>
          <w:tcPr>
            <w:tcW w:w="421" w:type="dxa"/>
            <w:shd w:val="clear" w:color="auto" w:fill="F5F7FA"/>
          </w:tcPr>
          <w:p w14:paraId="4CDBAFE9" w14:textId="77777777" w:rsidR="0023263A" w:rsidRDefault="0023263A" w:rsidP="003B0FC0">
            <w:pPr>
              <w:spacing w:after="40"/>
            </w:pPr>
            <w:r>
              <w:rPr>
                <w:color w:val="1A1A1A"/>
                <w:sz w:val="18"/>
              </w:rPr>
              <w:t>4</w:t>
            </w:r>
          </w:p>
        </w:tc>
        <w:tc>
          <w:tcPr>
            <w:tcW w:w="2693" w:type="dxa"/>
            <w:shd w:val="clear" w:color="auto" w:fill="F5F7FA"/>
          </w:tcPr>
          <w:p w14:paraId="22F85610" w14:textId="77777777" w:rsidR="0023263A" w:rsidRDefault="0023263A" w:rsidP="003B0FC0">
            <w:pPr>
              <w:spacing w:after="40"/>
            </w:pPr>
            <w:r>
              <w:rPr>
                <w:color w:val="1A1A1A"/>
                <w:sz w:val="18"/>
              </w:rPr>
              <w:t>Bonificaciones</w:t>
            </w:r>
          </w:p>
        </w:tc>
        <w:tc>
          <w:tcPr>
            <w:tcW w:w="3544" w:type="dxa"/>
            <w:shd w:val="clear" w:color="auto" w:fill="F5F7FA"/>
          </w:tcPr>
          <w:p w14:paraId="2C0A642D" w14:textId="77777777" w:rsidR="0023263A" w:rsidRDefault="0023263A" w:rsidP="003B0FC0">
            <w:pPr>
              <w:spacing w:after="40"/>
            </w:pPr>
            <w:r>
              <w:rPr>
                <w:color w:val="1A1A1A"/>
                <w:sz w:val="18"/>
              </w:rPr>
              <w:t>Comité Evaluador, por verificación documental</w:t>
            </w:r>
          </w:p>
        </w:tc>
        <w:tc>
          <w:tcPr>
            <w:tcW w:w="2980" w:type="dxa"/>
            <w:shd w:val="clear" w:color="auto" w:fill="F5F7FA"/>
          </w:tcPr>
          <w:p w14:paraId="25B1ED50" w14:textId="77777777" w:rsidR="0023263A" w:rsidRDefault="0023263A" w:rsidP="003B0FC0">
            <w:pPr>
              <w:spacing w:after="40"/>
            </w:pPr>
            <w:r>
              <w:rPr>
                <w:color w:val="1A1A1A"/>
                <w:sz w:val="18"/>
              </w:rPr>
              <w:t>Hasta +7</w:t>
            </w:r>
          </w:p>
        </w:tc>
      </w:tr>
      <w:tr w:rsidR="0023263A" w14:paraId="15415B54" w14:textId="77777777" w:rsidTr="005947FD">
        <w:trPr>
          <w:jc w:val="center"/>
        </w:trPr>
        <w:tc>
          <w:tcPr>
            <w:tcW w:w="421" w:type="dxa"/>
          </w:tcPr>
          <w:p w14:paraId="67D6A2EB" w14:textId="77777777" w:rsidR="0023263A" w:rsidRDefault="0023263A" w:rsidP="003B0FC0">
            <w:pPr>
              <w:spacing w:after="40"/>
            </w:pPr>
            <w:r>
              <w:rPr>
                <w:color w:val="1A1A1A"/>
                <w:sz w:val="18"/>
              </w:rPr>
              <w:t>5</w:t>
            </w:r>
          </w:p>
        </w:tc>
        <w:tc>
          <w:tcPr>
            <w:tcW w:w="2693" w:type="dxa"/>
          </w:tcPr>
          <w:p w14:paraId="30350B95" w14:textId="77777777" w:rsidR="0023263A" w:rsidRDefault="0023263A" w:rsidP="003B0FC0">
            <w:pPr>
              <w:spacing w:after="40"/>
            </w:pPr>
            <w:r>
              <w:rPr>
                <w:color w:val="1A1A1A"/>
                <w:sz w:val="18"/>
              </w:rPr>
              <w:t>Orden de mérito y recomendación de corte</w:t>
            </w:r>
          </w:p>
        </w:tc>
        <w:tc>
          <w:tcPr>
            <w:tcW w:w="3544" w:type="dxa"/>
          </w:tcPr>
          <w:p w14:paraId="7E0A106B" w14:textId="77777777" w:rsidR="0023263A" w:rsidRDefault="0023263A" w:rsidP="003B0FC0">
            <w:pPr>
              <w:spacing w:after="40"/>
            </w:pPr>
            <w:r>
              <w:rPr>
                <w:color w:val="1A1A1A"/>
                <w:sz w:val="18"/>
              </w:rPr>
              <w:t>Comité Evaluador</w:t>
            </w:r>
          </w:p>
        </w:tc>
        <w:tc>
          <w:tcPr>
            <w:tcW w:w="2980" w:type="dxa"/>
          </w:tcPr>
          <w:p w14:paraId="6324C909" w14:textId="77777777" w:rsidR="0023263A" w:rsidRDefault="0023263A" w:rsidP="003B0FC0">
            <w:pPr>
              <w:spacing w:after="40"/>
            </w:pPr>
            <w:r>
              <w:rPr>
                <w:color w:val="1A1A1A"/>
                <w:sz w:val="18"/>
              </w:rPr>
              <w:t>Acta</w:t>
            </w:r>
          </w:p>
        </w:tc>
      </w:tr>
      <w:tr w:rsidR="0023263A" w14:paraId="1AB84CF5" w14:textId="77777777" w:rsidTr="005947FD">
        <w:trPr>
          <w:jc w:val="center"/>
        </w:trPr>
        <w:tc>
          <w:tcPr>
            <w:tcW w:w="421" w:type="dxa"/>
            <w:shd w:val="clear" w:color="auto" w:fill="F5F7FA"/>
          </w:tcPr>
          <w:p w14:paraId="07595F10" w14:textId="77777777" w:rsidR="0023263A" w:rsidRDefault="0023263A" w:rsidP="003B0FC0">
            <w:pPr>
              <w:spacing w:after="40"/>
            </w:pPr>
            <w:r>
              <w:rPr>
                <w:color w:val="1A1A1A"/>
                <w:sz w:val="18"/>
              </w:rPr>
              <w:t>6</w:t>
            </w:r>
          </w:p>
        </w:tc>
        <w:tc>
          <w:tcPr>
            <w:tcW w:w="2693" w:type="dxa"/>
            <w:shd w:val="clear" w:color="auto" w:fill="F5F7FA"/>
          </w:tcPr>
          <w:p w14:paraId="0AA0AF79" w14:textId="77777777" w:rsidR="0023263A" w:rsidRDefault="0023263A" w:rsidP="003B0FC0">
            <w:pPr>
              <w:spacing w:after="40"/>
            </w:pPr>
            <w:r>
              <w:rPr>
                <w:color w:val="1A1A1A"/>
                <w:sz w:val="18"/>
              </w:rPr>
              <w:t>Adjudicación</w:t>
            </w:r>
          </w:p>
        </w:tc>
        <w:tc>
          <w:tcPr>
            <w:tcW w:w="3544" w:type="dxa"/>
            <w:shd w:val="clear" w:color="auto" w:fill="F5F7FA"/>
          </w:tcPr>
          <w:p w14:paraId="51787372" w14:textId="77777777" w:rsidR="0023263A" w:rsidRDefault="0023263A" w:rsidP="003B0FC0">
            <w:pPr>
              <w:spacing w:after="40"/>
            </w:pPr>
            <w:r>
              <w:rPr>
                <w:color w:val="1A1A1A"/>
                <w:sz w:val="18"/>
              </w:rPr>
              <w:t>Dirección del C-TASC AIP</w:t>
            </w:r>
          </w:p>
        </w:tc>
        <w:tc>
          <w:tcPr>
            <w:tcW w:w="2980" w:type="dxa"/>
            <w:shd w:val="clear" w:color="auto" w:fill="F5F7FA"/>
          </w:tcPr>
          <w:p w14:paraId="14F1C8FD" w14:textId="77777777" w:rsidR="0023263A" w:rsidRDefault="0023263A" w:rsidP="003B0FC0">
            <w:pPr>
              <w:spacing w:after="40"/>
            </w:pPr>
            <w:r>
              <w:rPr>
                <w:color w:val="1A1A1A"/>
                <w:sz w:val="18"/>
              </w:rPr>
              <w:t>Resolución y notificación a todas las postulantes</w:t>
            </w:r>
          </w:p>
        </w:tc>
      </w:tr>
    </w:tbl>
    <w:p w14:paraId="1161E590" w14:textId="77777777" w:rsidR="0023263A" w:rsidRDefault="0023263A" w:rsidP="0023263A">
      <w:pPr>
        <w:pStyle w:val="Ttulo1"/>
        <w:pBdr>
          <w:bottom w:val="single" w:sz="6" w:space="6" w:color="072357"/>
        </w:pBdr>
        <w:spacing w:before="340" w:after="140"/>
      </w:pPr>
      <w:r>
        <w:rPr>
          <w:rFonts w:ascii="Arial" w:hAnsi="Arial"/>
          <w:b/>
          <w:color w:val="072357"/>
          <w:sz w:val="25"/>
        </w:rPr>
        <w:t>3. Filtro previo de factibilidad</w:t>
      </w:r>
    </w:p>
    <w:p w14:paraId="73B09303" w14:textId="77777777" w:rsidR="0023263A" w:rsidRDefault="0023263A" w:rsidP="0023263A">
      <w:pPr>
        <w:spacing w:after="120"/>
        <w:jc w:val="both"/>
      </w:pPr>
      <w:r>
        <w:rPr>
          <w:color w:val="1A1A1A"/>
          <w:sz w:val="20"/>
        </w:rPr>
        <w:t xml:space="preserve">Antes de la puntuación, el evaluador técnico externo responde una sola pregunta sobre cada proyecto: </w:t>
      </w:r>
      <w:r>
        <w:rPr>
          <w:b/>
          <w:color w:val="1A1A1A"/>
          <w:sz w:val="20"/>
        </w:rPr>
        <w:t>¿puede este diseño transferirse a esta empresa en doce meses, con el acompañamiento previsto?</w:t>
      </w:r>
    </w:p>
    <w:p w14:paraId="5804C1CA" w14:textId="77777777" w:rsidR="0023263A" w:rsidRDefault="0023263A" w:rsidP="0023263A">
      <w:pPr>
        <w:spacing w:after="120"/>
        <w:jc w:val="both"/>
      </w:pPr>
      <w:r>
        <w:rPr>
          <w:color w:val="1A1A1A"/>
          <w:sz w:val="20"/>
        </w:rPr>
        <w:t>No juzga aquí la calidad del proyecto, ni el mercado, ni el equipo. Esos son los criterios 1 a 6.</w:t>
      </w:r>
    </w:p>
    <w:p w14:paraId="498B4B35" w14:textId="77777777" w:rsidR="0023263A" w:rsidRDefault="0023263A" w:rsidP="0023263A">
      <w:pPr>
        <w:pStyle w:val="Ttulo3"/>
      </w:pPr>
      <w:r>
        <w:rPr>
          <w:b/>
          <w:color w:val="2A4E9E"/>
          <w:sz w:val="20"/>
        </w:rPr>
        <w:t>3.1 Los tres veredictos</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4338"/>
        <w:gridCol w:w="5300"/>
      </w:tblGrid>
      <w:tr w:rsidR="0023263A" w14:paraId="6F8B9957" w14:textId="77777777" w:rsidTr="003B0FC0">
        <w:trPr>
          <w:jc w:val="center"/>
        </w:trPr>
        <w:tc>
          <w:tcPr>
            <w:tcW w:w="4360" w:type="dxa"/>
            <w:shd w:val="clear" w:color="auto" w:fill="072357"/>
          </w:tcPr>
          <w:p w14:paraId="7FD10E83" w14:textId="77777777" w:rsidR="0023263A" w:rsidRDefault="0023263A" w:rsidP="003B0FC0">
            <w:pPr>
              <w:spacing w:after="40"/>
            </w:pPr>
            <w:r>
              <w:rPr>
                <w:b/>
                <w:color w:val="FFFFFF"/>
                <w:sz w:val="17"/>
              </w:rPr>
              <w:t>Veredicto</w:t>
            </w:r>
          </w:p>
        </w:tc>
        <w:tc>
          <w:tcPr>
            <w:tcW w:w="5328" w:type="dxa"/>
            <w:shd w:val="clear" w:color="auto" w:fill="072357"/>
          </w:tcPr>
          <w:p w14:paraId="1226A4C3" w14:textId="77777777" w:rsidR="0023263A" w:rsidRDefault="0023263A" w:rsidP="003B0FC0">
            <w:pPr>
              <w:spacing w:after="40"/>
            </w:pPr>
            <w:r>
              <w:rPr>
                <w:b/>
                <w:color w:val="FFFFFF"/>
                <w:sz w:val="17"/>
              </w:rPr>
              <w:t>Efecto</w:t>
            </w:r>
          </w:p>
        </w:tc>
      </w:tr>
      <w:tr w:rsidR="0023263A" w14:paraId="5C79A8E8" w14:textId="77777777" w:rsidTr="003B0FC0">
        <w:trPr>
          <w:jc w:val="center"/>
        </w:trPr>
        <w:tc>
          <w:tcPr>
            <w:tcW w:w="4360" w:type="dxa"/>
          </w:tcPr>
          <w:p w14:paraId="598689E7" w14:textId="77777777" w:rsidR="0023263A" w:rsidRDefault="0023263A" w:rsidP="003B0FC0">
            <w:pPr>
              <w:spacing w:after="40"/>
            </w:pPr>
            <w:r>
              <w:rPr>
                <w:b/>
                <w:color w:val="1A1A1A"/>
                <w:sz w:val="18"/>
              </w:rPr>
              <w:t>Transferible en doce meses</w:t>
            </w:r>
          </w:p>
        </w:tc>
        <w:tc>
          <w:tcPr>
            <w:tcW w:w="5328" w:type="dxa"/>
          </w:tcPr>
          <w:p w14:paraId="196540F5" w14:textId="77777777" w:rsidR="0023263A" w:rsidRDefault="0023263A" w:rsidP="003B0FC0">
            <w:pPr>
              <w:spacing w:after="40"/>
            </w:pPr>
            <w:r>
              <w:rPr>
                <w:color w:val="1A1A1A"/>
                <w:sz w:val="18"/>
              </w:rPr>
              <w:t>El proyecto continúa a puntuación</w:t>
            </w:r>
          </w:p>
        </w:tc>
      </w:tr>
      <w:tr w:rsidR="0023263A" w14:paraId="33DC13BF" w14:textId="77777777" w:rsidTr="003B0FC0">
        <w:trPr>
          <w:jc w:val="center"/>
        </w:trPr>
        <w:tc>
          <w:tcPr>
            <w:tcW w:w="4360" w:type="dxa"/>
            <w:shd w:val="clear" w:color="auto" w:fill="F5F7FA"/>
          </w:tcPr>
          <w:p w14:paraId="4251A512" w14:textId="77777777" w:rsidR="0023263A" w:rsidRDefault="0023263A" w:rsidP="003B0FC0">
            <w:pPr>
              <w:spacing w:after="40"/>
            </w:pPr>
            <w:r>
              <w:rPr>
                <w:b/>
                <w:color w:val="1A1A1A"/>
                <w:sz w:val="18"/>
              </w:rPr>
              <w:lastRenderedPageBreak/>
              <w:t>Transferible con ajustes</w:t>
            </w:r>
          </w:p>
        </w:tc>
        <w:tc>
          <w:tcPr>
            <w:tcW w:w="5328" w:type="dxa"/>
            <w:shd w:val="clear" w:color="auto" w:fill="F5F7FA"/>
          </w:tcPr>
          <w:p w14:paraId="513686BE" w14:textId="77777777" w:rsidR="0023263A" w:rsidRDefault="0023263A" w:rsidP="003B0FC0">
            <w:pPr>
              <w:spacing w:after="40"/>
            </w:pPr>
            <w:r>
              <w:rPr>
                <w:color w:val="1A1A1A"/>
                <w:sz w:val="18"/>
              </w:rPr>
              <w:t>Continúa a puntuación. Los ajustes se consignan como condición de la adjudicación</w:t>
            </w:r>
          </w:p>
        </w:tc>
      </w:tr>
      <w:tr w:rsidR="0023263A" w14:paraId="0B6BDB04" w14:textId="77777777" w:rsidTr="003B0FC0">
        <w:trPr>
          <w:jc w:val="center"/>
        </w:trPr>
        <w:tc>
          <w:tcPr>
            <w:tcW w:w="4360" w:type="dxa"/>
          </w:tcPr>
          <w:p w14:paraId="1CEE4F5F" w14:textId="77777777" w:rsidR="0023263A" w:rsidRDefault="0023263A" w:rsidP="003B0FC0">
            <w:pPr>
              <w:spacing w:after="40"/>
            </w:pPr>
            <w:r>
              <w:rPr>
                <w:b/>
                <w:color w:val="1A1A1A"/>
                <w:sz w:val="18"/>
              </w:rPr>
              <w:t>No transferible en doce meses</w:t>
            </w:r>
          </w:p>
        </w:tc>
        <w:tc>
          <w:tcPr>
            <w:tcW w:w="5328" w:type="dxa"/>
          </w:tcPr>
          <w:p w14:paraId="7D679FD6" w14:textId="77777777" w:rsidR="0023263A" w:rsidRDefault="0023263A" w:rsidP="003B0FC0">
            <w:pPr>
              <w:spacing w:after="40"/>
            </w:pPr>
            <w:r>
              <w:rPr>
                <w:color w:val="1A1A1A"/>
                <w:sz w:val="18"/>
              </w:rPr>
              <w:t>El proyecto queda excluido del orden de mérito, cualquiera sea su puntuación en los demás criterios</w:t>
            </w:r>
          </w:p>
        </w:tc>
      </w:tr>
    </w:tbl>
    <w:p w14:paraId="43BDEF1C" w14:textId="77777777" w:rsidR="0023263A" w:rsidRDefault="0023263A" w:rsidP="0023263A">
      <w:pPr>
        <w:spacing w:after="80"/>
      </w:pPr>
    </w:p>
    <w:p w14:paraId="688AEA06" w14:textId="77777777" w:rsidR="0023263A" w:rsidRDefault="0023263A" w:rsidP="0023263A">
      <w:pPr>
        <w:spacing w:after="120"/>
        <w:jc w:val="both"/>
      </w:pPr>
      <w:r>
        <w:rPr>
          <w:color w:val="1A1A1A"/>
          <w:sz w:val="20"/>
        </w:rPr>
        <w:t>El veredicto de no transferibilidad es ratificado por el Comité Evaluador antes de aplicarse, y se comunica a la postulante con su motivación.</w:t>
      </w:r>
    </w:p>
    <w:p w14:paraId="3440D4C0" w14:textId="77777777" w:rsidR="0023263A" w:rsidRDefault="0023263A" w:rsidP="0023263A">
      <w:pPr>
        <w:pStyle w:val="Ttulo3"/>
      </w:pPr>
      <w:r>
        <w:rPr>
          <w:b/>
          <w:color w:val="2A4E9E"/>
          <w:sz w:val="20"/>
        </w:rPr>
        <w:t>3.2 Formulario del veredicto</w:t>
      </w:r>
    </w:p>
    <w:p w14:paraId="362EAB28" w14:textId="77777777" w:rsidR="0023263A" w:rsidRDefault="0023263A" w:rsidP="0023263A">
      <w:pPr>
        <w:pBdr>
          <w:left w:val="single" w:sz="12" w:space="10" w:color="9FB2D4"/>
        </w:pBdr>
        <w:spacing w:before="120" w:after="160"/>
        <w:ind w:left="173"/>
      </w:pPr>
      <w:r>
        <w:rPr>
          <w:rFonts w:ascii="Courier New" w:hAnsi="Courier New"/>
          <w:color w:val="333333"/>
          <w:sz w:val="16"/>
        </w:rPr>
        <w:t>CONVOCATORIA AMP 2026 · AMP-CE-2026</w:t>
      </w:r>
      <w:r>
        <w:rPr>
          <w:rFonts w:ascii="Courier New" w:hAnsi="Courier New"/>
          <w:color w:val="333333"/>
          <w:sz w:val="16"/>
        </w:rPr>
        <w:br/>
        <w:t>VEREDICTO DE FACTIBILIDAD TÉCNICA</w:t>
      </w:r>
      <w:r>
        <w:rPr>
          <w:rFonts w:ascii="Courier New" w:hAnsi="Courier New"/>
          <w:color w:val="333333"/>
          <w:sz w:val="16"/>
        </w:rPr>
        <w:br/>
      </w:r>
      <w:r>
        <w:rPr>
          <w:rFonts w:ascii="Courier New" w:hAnsi="Courier New"/>
          <w:color w:val="333333"/>
          <w:sz w:val="16"/>
        </w:rPr>
        <w:br/>
        <w:t>Postulación N.º ......................  Empresa ..............................</w:t>
      </w:r>
      <w:r>
        <w:rPr>
          <w:rFonts w:ascii="Courier New" w:hAnsi="Courier New"/>
          <w:color w:val="333333"/>
          <w:sz w:val="16"/>
        </w:rPr>
        <w:br/>
        <w:t>Evaluador ............................  Fecha ................................</w:t>
      </w:r>
      <w:r>
        <w:rPr>
          <w:rFonts w:ascii="Courier New" w:hAnsi="Courier New"/>
          <w:color w:val="333333"/>
          <w:sz w:val="16"/>
        </w:rPr>
        <w:br/>
      </w:r>
      <w:r>
        <w:rPr>
          <w:rFonts w:ascii="Courier New" w:hAnsi="Courier New"/>
          <w:color w:val="333333"/>
          <w:sz w:val="16"/>
        </w:rPr>
        <w:br/>
        <w:t>Entregable declarado por la empresa (una línea):</w:t>
      </w:r>
      <w:r>
        <w:rPr>
          <w:rFonts w:ascii="Courier New" w:hAnsi="Courier New"/>
          <w:color w:val="333333"/>
          <w:sz w:val="16"/>
        </w:rPr>
        <w:br/>
        <w:t>.........................................................................</w:t>
      </w:r>
      <w:r>
        <w:rPr>
          <w:rFonts w:ascii="Courier New" w:hAnsi="Courier New"/>
          <w:color w:val="333333"/>
          <w:sz w:val="16"/>
        </w:rPr>
        <w:br/>
      </w:r>
      <w:r>
        <w:rPr>
          <w:rFonts w:ascii="Courier New" w:hAnsi="Courier New"/>
          <w:color w:val="333333"/>
          <w:sz w:val="16"/>
        </w:rPr>
        <w:br/>
        <w:t>VEREDICTO</w:t>
      </w:r>
      <w:r>
        <w:rPr>
          <w:rFonts w:ascii="Courier New" w:hAnsi="Courier New"/>
          <w:color w:val="333333"/>
          <w:sz w:val="16"/>
        </w:rPr>
        <w:br/>
      </w:r>
      <w:r>
        <w:rPr>
          <w:rFonts w:ascii="Courier New" w:hAnsi="Courier New"/>
          <w:color w:val="333333"/>
          <w:sz w:val="16"/>
        </w:rPr>
        <w:br/>
        <w:t>[ ] Transferible en doce meses</w:t>
      </w:r>
      <w:r>
        <w:rPr>
          <w:rFonts w:ascii="Courier New" w:hAnsi="Courier New"/>
          <w:color w:val="333333"/>
          <w:sz w:val="16"/>
        </w:rPr>
        <w:br/>
        <w:t>[ ] Transferible con ajustes</w:t>
      </w:r>
      <w:r>
        <w:rPr>
          <w:rFonts w:ascii="Courier New" w:hAnsi="Courier New"/>
          <w:color w:val="333333"/>
          <w:sz w:val="16"/>
        </w:rPr>
        <w:br/>
        <w:t>[ ] No transferible en doce meses</w:t>
      </w:r>
      <w:r>
        <w:rPr>
          <w:rFonts w:ascii="Courier New" w:hAnsi="Courier New"/>
          <w:color w:val="333333"/>
          <w:sz w:val="16"/>
        </w:rPr>
        <w:br/>
      </w:r>
      <w:r>
        <w:rPr>
          <w:rFonts w:ascii="Courier New" w:hAnsi="Courier New"/>
          <w:color w:val="333333"/>
          <w:sz w:val="16"/>
        </w:rPr>
        <w:br/>
        <w:t>MOTIVACIÓN — obligatoria en los tres casos</w:t>
      </w:r>
      <w:r>
        <w:rPr>
          <w:rFonts w:ascii="Courier New" w:hAnsi="Courier New"/>
          <w:color w:val="333333"/>
          <w:sz w:val="16"/>
        </w:rPr>
        <w:br/>
        <w:t>Competencias que el proyecto exige, competencias que la empresa declara</w:t>
      </w:r>
      <w:r>
        <w:rPr>
          <w:rFonts w:ascii="Courier New" w:hAnsi="Courier New"/>
          <w:color w:val="333333"/>
          <w:sz w:val="16"/>
        </w:rPr>
        <w:br/>
        <w:t>tener, y distancia entre ambas. En caso de no transferibilidad, indicar</w:t>
      </w:r>
      <w:r>
        <w:rPr>
          <w:rFonts w:ascii="Courier New" w:hAnsi="Courier New"/>
          <w:color w:val="333333"/>
          <w:sz w:val="16"/>
        </w:rPr>
        <w:br/>
        <w:t>qué competencia o qué plazo lo impide.</w:t>
      </w:r>
      <w:r>
        <w:rPr>
          <w:rFonts w:ascii="Courier New" w:hAnsi="Courier New"/>
          <w:color w:val="333333"/>
          <w:sz w:val="16"/>
        </w:rPr>
        <w:br/>
        <w:t>.........................................................................</w:t>
      </w:r>
      <w:r>
        <w:rPr>
          <w:rFonts w:ascii="Courier New" w:hAnsi="Courier New"/>
          <w:color w:val="333333"/>
          <w:sz w:val="16"/>
        </w:rPr>
        <w:br/>
        <w:t>.........................................................................</w:t>
      </w:r>
      <w:r>
        <w:rPr>
          <w:rFonts w:ascii="Courier New" w:hAnsi="Courier New"/>
          <w:color w:val="333333"/>
          <w:sz w:val="16"/>
        </w:rPr>
        <w:br/>
        <w:t>.........................................................................</w:t>
      </w:r>
      <w:r>
        <w:rPr>
          <w:rFonts w:ascii="Courier New" w:hAnsi="Courier New"/>
          <w:color w:val="333333"/>
          <w:sz w:val="16"/>
        </w:rPr>
        <w:br/>
      </w:r>
      <w:r>
        <w:rPr>
          <w:rFonts w:ascii="Courier New" w:hAnsi="Courier New"/>
          <w:color w:val="333333"/>
          <w:sz w:val="16"/>
        </w:rPr>
        <w:br/>
        <w:t>SI «TRANSFERIBLE CON AJUSTES» — ajustes que se consignan como condición</w:t>
      </w:r>
      <w:r>
        <w:rPr>
          <w:rFonts w:ascii="Courier New" w:hAnsi="Courier New"/>
          <w:color w:val="333333"/>
          <w:sz w:val="16"/>
        </w:rPr>
        <w:br/>
        <w:t>de la adjudicación</w:t>
      </w:r>
      <w:r>
        <w:rPr>
          <w:rFonts w:ascii="Courier New" w:hAnsi="Courier New"/>
          <w:color w:val="333333"/>
          <w:sz w:val="16"/>
        </w:rPr>
        <w:br/>
        <w:t>.........................................................................</w:t>
      </w:r>
      <w:r>
        <w:rPr>
          <w:rFonts w:ascii="Courier New" w:hAnsi="Courier New"/>
          <w:color w:val="333333"/>
          <w:sz w:val="16"/>
        </w:rPr>
        <w:br/>
        <w:t>.........................................................................</w:t>
      </w:r>
      <w:r>
        <w:rPr>
          <w:rFonts w:ascii="Courier New" w:hAnsi="Courier New"/>
          <w:color w:val="333333"/>
          <w:sz w:val="16"/>
        </w:rPr>
        <w:br/>
      </w:r>
      <w:r>
        <w:rPr>
          <w:rFonts w:ascii="Courier New" w:hAnsi="Courier New"/>
          <w:color w:val="333333"/>
          <w:sz w:val="16"/>
        </w:rPr>
        <w:br/>
        <w:t>CONFLICTO DE INTERÉS</w:t>
      </w:r>
      <w:r>
        <w:rPr>
          <w:rFonts w:ascii="Courier New" w:hAnsi="Courier New"/>
          <w:color w:val="333333"/>
          <w:sz w:val="16"/>
        </w:rPr>
        <w:br/>
        <w:t>[ ] Declaro no tener vinculación con esta postulante</w:t>
      </w:r>
      <w:r>
        <w:rPr>
          <w:rFonts w:ascii="Courier New" w:hAnsi="Courier New"/>
          <w:color w:val="333333"/>
          <w:sz w:val="16"/>
        </w:rPr>
        <w:br/>
        <w:t>[ ] Me recuso respecto de esta postulación. Motivo: ....................</w:t>
      </w:r>
      <w:r>
        <w:rPr>
          <w:rFonts w:ascii="Courier New" w:hAnsi="Courier New"/>
          <w:color w:val="333333"/>
          <w:sz w:val="16"/>
        </w:rPr>
        <w:br/>
      </w:r>
      <w:r>
        <w:rPr>
          <w:rFonts w:ascii="Courier New" w:hAnsi="Courier New"/>
          <w:color w:val="333333"/>
          <w:sz w:val="16"/>
        </w:rPr>
        <w:br/>
        <w:t>Firma ...................................  Fecha .......................</w:t>
      </w:r>
    </w:p>
    <w:p w14:paraId="3768FC77" w14:textId="77777777" w:rsidR="0023263A" w:rsidRDefault="0023263A" w:rsidP="0023263A">
      <w:pPr>
        <w:pStyle w:val="Ttulo1"/>
        <w:pBdr>
          <w:bottom w:val="single" w:sz="6" w:space="6" w:color="072357"/>
        </w:pBdr>
        <w:spacing w:before="340" w:after="140"/>
      </w:pPr>
      <w:r>
        <w:rPr>
          <w:rFonts w:ascii="Arial" w:hAnsi="Arial"/>
          <w:b/>
          <w:color w:val="072357"/>
          <w:sz w:val="25"/>
        </w:rPr>
        <w:t>4. Cómo se puntúa</w:t>
      </w:r>
    </w:p>
    <w:p w14:paraId="51AA4063" w14:textId="77777777" w:rsidR="0023263A" w:rsidRDefault="0023263A" w:rsidP="0023263A">
      <w:pPr>
        <w:spacing w:after="120"/>
        <w:jc w:val="both"/>
      </w:pPr>
      <w:r>
        <w:rPr>
          <w:color w:val="1A1A1A"/>
          <w:sz w:val="20"/>
        </w:rPr>
        <w:t>Cada criterio tiene cuatro niveles. El evaluador escoge primero el nivel y después el punto dentro de la banda, y registra el puntaje, no el nivel.</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1930"/>
        <w:gridCol w:w="1929"/>
        <w:gridCol w:w="1924"/>
        <w:gridCol w:w="1924"/>
        <w:gridCol w:w="1931"/>
      </w:tblGrid>
      <w:tr w:rsidR="0023263A" w14:paraId="208CB7F9" w14:textId="77777777" w:rsidTr="003B0FC0">
        <w:trPr>
          <w:jc w:val="center"/>
        </w:trPr>
        <w:tc>
          <w:tcPr>
            <w:tcW w:w="1938" w:type="dxa"/>
            <w:shd w:val="clear" w:color="auto" w:fill="072357"/>
          </w:tcPr>
          <w:p w14:paraId="0B750A08" w14:textId="77777777" w:rsidR="0023263A" w:rsidRDefault="0023263A" w:rsidP="003B0FC0">
            <w:pPr>
              <w:spacing w:after="40"/>
            </w:pPr>
            <w:r>
              <w:rPr>
                <w:b/>
                <w:color w:val="FFFFFF"/>
                <w:sz w:val="17"/>
              </w:rPr>
              <w:t>Criterio</w:t>
            </w:r>
          </w:p>
        </w:tc>
        <w:tc>
          <w:tcPr>
            <w:tcW w:w="1938" w:type="dxa"/>
            <w:shd w:val="clear" w:color="auto" w:fill="072357"/>
          </w:tcPr>
          <w:p w14:paraId="240E963F" w14:textId="77777777" w:rsidR="0023263A" w:rsidRDefault="0023263A" w:rsidP="003B0FC0">
            <w:pPr>
              <w:spacing w:after="40"/>
            </w:pPr>
            <w:r>
              <w:rPr>
                <w:b/>
                <w:color w:val="FFFFFF"/>
                <w:sz w:val="17"/>
              </w:rPr>
              <w:t>Insuficiente</w:t>
            </w:r>
          </w:p>
        </w:tc>
        <w:tc>
          <w:tcPr>
            <w:tcW w:w="1938" w:type="dxa"/>
            <w:shd w:val="clear" w:color="auto" w:fill="072357"/>
          </w:tcPr>
          <w:p w14:paraId="5EA6B159" w14:textId="77777777" w:rsidR="0023263A" w:rsidRDefault="0023263A" w:rsidP="003B0FC0">
            <w:pPr>
              <w:spacing w:after="40"/>
            </w:pPr>
            <w:r>
              <w:rPr>
                <w:b/>
                <w:color w:val="FFFFFF"/>
                <w:sz w:val="17"/>
              </w:rPr>
              <w:t>Básico</w:t>
            </w:r>
          </w:p>
        </w:tc>
        <w:tc>
          <w:tcPr>
            <w:tcW w:w="1938" w:type="dxa"/>
            <w:shd w:val="clear" w:color="auto" w:fill="072357"/>
          </w:tcPr>
          <w:p w14:paraId="3BEE8198" w14:textId="77777777" w:rsidR="0023263A" w:rsidRDefault="0023263A" w:rsidP="003B0FC0">
            <w:pPr>
              <w:spacing w:after="40"/>
            </w:pPr>
            <w:r>
              <w:rPr>
                <w:b/>
                <w:color w:val="FFFFFF"/>
                <w:sz w:val="17"/>
              </w:rPr>
              <w:t>Sólido</w:t>
            </w:r>
          </w:p>
        </w:tc>
        <w:tc>
          <w:tcPr>
            <w:tcW w:w="1938" w:type="dxa"/>
            <w:shd w:val="clear" w:color="auto" w:fill="072357"/>
          </w:tcPr>
          <w:p w14:paraId="47EE6B07" w14:textId="77777777" w:rsidR="0023263A" w:rsidRDefault="0023263A" w:rsidP="003B0FC0">
            <w:pPr>
              <w:spacing w:after="40"/>
            </w:pPr>
            <w:r>
              <w:rPr>
                <w:b/>
                <w:color w:val="FFFFFF"/>
                <w:sz w:val="17"/>
              </w:rPr>
              <w:t>Sobresaliente</w:t>
            </w:r>
          </w:p>
        </w:tc>
      </w:tr>
      <w:tr w:rsidR="0023263A" w14:paraId="4E59932B" w14:textId="77777777" w:rsidTr="003B0FC0">
        <w:trPr>
          <w:jc w:val="center"/>
        </w:trPr>
        <w:tc>
          <w:tcPr>
            <w:tcW w:w="1938" w:type="dxa"/>
          </w:tcPr>
          <w:p w14:paraId="517A896C" w14:textId="77777777" w:rsidR="0023263A" w:rsidRDefault="0023263A" w:rsidP="003B0FC0">
            <w:pPr>
              <w:spacing w:after="40"/>
            </w:pPr>
            <w:r>
              <w:rPr>
                <w:color w:val="1A1A1A"/>
                <w:sz w:val="18"/>
              </w:rPr>
              <w:t>1 · Calidad del proyecto (25)</w:t>
            </w:r>
          </w:p>
        </w:tc>
        <w:tc>
          <w:tcPr>
            <w:tcW w:w="1938" w:type="dxa"/>
          </w:tcPr>
          <w:p w14:paraId="64F6D663" w14:textId="77777777" w:rsidR="0023263A" w:rsidRDefault="0023263A" w:rsidP="003B0FC0">
            <w:pPr>
              <w:spacing w:after="40"/>
            </w:pPr>
            <w:r>
              <w:rPr>
                <w:color w:val="1A1A1A"/>
                <w:sz w:val="18"/>
              </w:rPr>
              <w:t>0–6</w:t>
            </w:r>
          </w:p>
        </w:tc>
        <w:tc>
          <w:tcPr>
            <w:tcW w:w="1938" w:type="dxa"/>
          </w:tcPr>
          <w:p w14:paraId="6C8B9237" w14:textId="77777777" w:rsidR="0023263A" w:rsidRDefault="0023263A" w:rsidP="003B0FC0">
            <w:pPr>
              <w:spacing w:after="40"/>
            </w:pPr>
            <w:r>
              <w:rPr>
                <w:color w:val="1A1A1A"/>
                <w:sz w:val="18"/>
              </w:rPr>
              <w:t>7–12</w:t>
            </w:r>
          </w:p>
        </w:tc>
        <w:tc>
          <w:tcPr>
            <w:tcW w:w="1938" w:type="dxa"/>
          </w:tcPr>
          <w:p w14:paraId="41754AA8" w14:textId="77777777" w:rsidR="0023263A" w:rsidRDefault="0023263A" w:rsidP="003B0FC0">
            <w:pPr>
              <w:spacing w:after="40"/>
            </w:pPr>
            <w:r>
              <w:rPr>
                <w:color w:val="1A1A1A"/>
                <w:sz w:val="18"/>
              </w:rPr>
              <w:t>13–20</w:t>
            </w:r>
          </w:p>
        </w:tc>
        <w:tc>
          <w:tcPr>
            <w:tcW w:w="1938" w:type="dxa"/>
          </w:tcPr>
          <w:p w14:paraId="4BBDE07A" w14:textId="77777777" w:rsidR="0023263A" w:rsidRDefault="0023263A" w:rsidP="003B0FC0">
            <w:pPr>
              <w:spacing w:after="40"/>
            </w:pPr>
            <w:r>
              <w:rPr>
                <w:color w:val="1A1A1A"/>
                <w:sz w:val="18"/>
              </w:rPr>
              <w:t>21–25</w:t>
            </w:r>
          </w:p>
        </w:tc>
      </w:tr>
      <w:tr w:rsidR="0023263A" w14:paraId="7B0B310D" w14:textId="77777777" w:rsidTr="003B0FC0">
        <w:trPr>
          <w:jc w:val="center"/>
        </w:trPr>
        <w:tc>
          <w:tcPr>
            <w:tcW w:w="1938" w:type="dxa"/>
            <w:shd w:val="clear" w:color="auto" w:fill="F5F7FA"/>
          </w:tcPr>
          <w:p w14:paraId="5D6FB335" w14:textId="77777777" w:rsidR="0023263A" w:rsidRDefault="0023263A" w:rsidP="003B0FC0">
            <w:pPr>
              <w:spacing w:after="40"/>
            </w:pPr>
            <w:r>
              <w:rPr>
                <w:color w:val="1A1A1A"/>
                <w:sz w:val="18"/>
              </w:rPr>
              <w:t>2 · Capacidad de absorción (20)</w:t>
            </w:r>
          </w:p>
        </w:tc>
        <w:tc>
          <w:tcPr>
            <w:tcW w:w="1938" w:type="dxa"/>
            <w:shd w:val="clear" w:color="auto" w:fill="F5F7FA"/>
          </w:tcPr>
          <w:p w14:paraId="213AE93F" w14:textId="77777777" w:rsidR="0023263A" w:rsidRDefault="0023263A" w:rsidP="003B0FC0">
            <w:pPr>
              <w:spacing w:after="40"/>
            </w:pPr>
            <w:r>
              <w:rPr>
                <w:color w:val="1A1A1A"/>
                <w:sz w:val="18"/>
              </w:rPr>
              <w:t>0–5</w:t>
            </w:r>
          </w:p>
        </w:tc>
        <w:tc>
          <w:tcPr>
            <w:tcW w:w="1938" w:type="dxa"/>
            <w:shd w:val="clear" w:color="auto" w:fill="F5F7FA"/>
          </w:tcPr>
          <w:p w14:paraId="6C12EC6D" w14:textId="77777777" w:rsidR="0023263A" w:rsidRDefault="0023263A" w:rsidP="003B0FC0">
            <w:pPr>
              <w:spacing w:after="40"/>
            </w:pPr>
            <w:r>
              <w:rPr>
                <w:color w:val="1A1A1A"/>
                <w:sz w:val="18"/>
              </w:rPr>
              <w:t>6–10</w:t>
            </w:r>
          </w:p>
        </w:tc>
        <w:tc>
          <w:tcPr>
            <w:tcW w:w="1938" w:type="dxa"/>
            <w:shd w:val="clear" w:color="auto" w:fill="F5F7FA"/>
          </w:tcPr>
          <w:p w14:paraId="2D0509EF" w14:textId="77777777" w:rsidR="0023263A" w:rsidRDefault="0023263A" w:rsidP="003B0FC0">
            <w:pPr>
              <w:spacing w:after="40"/>
            </w:pPr>
            <w:r>
              <w:rPr>
                <w:color w:val="1A1A1A"/>
                <w:sz w:val="18"/>
              </w:rPr>
              <w:t>11–16</w:t>
            </w:r>
          </w:p>
        </w:tc>
        <w:tc>
          <w:tcPr>
            <w:tcW w:w="1938" w:type="dxa"/>
            <w:shd w:val="clear" w:color="auto" w:fill="F5F7FA"/>
          </w:tcPr>
          <w:p w14:paraId="355AE4E0" w14:textId="77777777" w:rsidR="0023263A" w:rsidRDefault="0023263A" w:rsidP="003B0FC0">
            <w:pPr>
              <w:spacing w:after="40"/>
            </w:pPr>
            <w:r>
              <w:rPr>
                <w:color w:val="1A1A1A"/>
                <w:sz w:val="18"/>
              </w:rPr>
              <w:t>17–20</w:t>
            </w:r>
          </w:p>
        </w:tc>
      </w:tr>
      <w:tr w:rsidR="0023263A" w14:paraId="2A772EFF" w14:textId="77777777" w:rsidTr="003B0FC0">
        <w:trPr>
          <w:jc w:val="center"/>
        </w:trPr>
        <w:tc>
          <w:tcPr>
            <w:tcW w:w="1938" w:type="dxa"/>
          </w:tcPr>
          <w:p w14:paraId="7765AB18" w14:textId="77777777" w:rsidR="0023263A" w:rsidRDefault="0023263A" w:rsidP="003B0FC0">
            <w:pPr>
              <w:spacing w:after="40"/>
            </w:pPr>
            <w:r>
              <w:rPr>
                <w:color w:val="1A1A1A"/>
                <w:sz w:val="18"/>
              </w:rPr>
              <w:t>3.a · Línea de negocio (10)</w:t>
            </w:r>
          </w:p>
        </w:tc>
        <w:tc>
          <w:tcPr>
            <w:tcW w:w="1938" w:type="dxa"/>
          </w:tcPr>
          <w:p w14:paraId="12619CCD" w14:textId="77777777" w:rsidR="0023263A" w:rsidRDefault="0023263A" w:rsidP="003B0FC0">
            <w:pPr>
              <w:spacing w:after="40"/>
            </w:pPr>
            <w:r>
              <w:rPr>
                <w:color w:val="1A1A1A"/>
                <w:sz w:val="18"/>
              </w:rPr>
              <w:t>0–2</w:t>
            </w:r>
          </w:p>
        </w:tc>
        <w:tc>
          <w:tcPr>
            <w:tcW w:w="1938" w:type="dxa"/>
          </w:tcPr>
          <w:p w14:paraId="45C9194C" w14:textId="77777777" w:rsidR="0023263A" w:rsidRDefault="0023263A" w:rsidP="003B0FC0">
            <w:pPr>
              <w:spacing w:after="40"/>
            </w:pPr>
            <w:r>
              <w:rPr>
                <w:color w:val="1A1A1A"/>
                <w:sz w:val="18"/>
              </w:rPr>
              <w:t>3–5</w:t>
            </w:r>
          </w:p>
        </w:tc>
        <w:tc>
          <w:tcPr>
            <w:tcW w:w="1938" w:type="dxa"/>
          </w:tcPr>
          <w:p w14:paraId="4EDC549F" w14:textId="77777777" w:rsidR="0023263A" w:rsidRDefault="0023263A" w:rsidP="003B0FC0">
            <w:pPr>
              <w:spacing w:after="40"/>
            </w:pPr>
            <w:r>
              <w:rPr>
                <w:color w:val="1A1A1A"/>
                <w:sz w:val="18"/>
              </w:rPr>
              <w:t>6–8</w:t>
            </w:r>
          </w:p>
        </w:tc>
        <w:tc>
          <w:tcPr>
            <w:tcW w:w="1938" w:type="dxa"/>
          </w:tcPr>
          <w:p w14:paraId="75A733B2" w14:textId="77777777" w:rsidR="0023263A" w:rsidRDefault="0023263A" w:rsidP="003B0FC0">
            <w:pPr>
              <w:spacing w:after="40"/>
            </w:pPr>
            <w:r>
              <w:rPr>
                <w:color w:val="1A1A1A"/>
                <w:sz w:val="18"/>
              </w:rPr>
              <w:t>9–10</w:t>
            </w:r>
          </w:p>
        </w:tc>
      </w:tr>
      <w:tr w:rsidR="0023263A" w14:paraId="567934B3" w14:textId="77777777" w:rsidTr="003B0FC0">
        <w:trPr>
          <w:jc w:val="center"/>
        </w:trPr>
        <w:tc>
          <w:tcPr>
            <w:tcW w:w="1938" w:type="dxa"/>
            <w:shd w:val="clear" w:color="auto" w:fill="F5F7FA"/>
          </w:tcPr>
          <w:p w14:paraId="3952C5E1" w14:textId="77777777" w:rsidR="0023263A" w:rsidRDefault="0023263A" w:rsidP="003B0FC0">
            <w:pPr>
              <w:spacing w:after="40"/>
            </w:pPr>
            <w:r>
              <w:rPr>
                <w:color w:val="1A1A1A"/>
                <w:sz w:val="18"/>
              </w:rPr>
              <w:t>3.b · Mercado y cliente (10)</w:t>
            </w:r>
          </w:p>
        </w:tc>
        <w:tc>
          <w:tcPr>
            <w:tcW w:w="1938" w:type="dxa"/>
            <w:shd w:val="clear" w:color="auto" w:fill="F5F7FA"/>
          </w:tcPr>
          <w:p w14:paraId="377E0907" w14:textId="77777777" w:rsidR="0023263A" w:rsidRDefault="0023263A" w:rsidP="003B0FC0">
            <w:pPr>
              <w:spacing w:after="40"/>
            </w:pPr>
            <w:r>
              <w:rPr>
                <w:color w:val="1A1A1A"/>
                <w:sz w:val="18"/>
              </w:rPr>
              <w:t>0–2</w:t>
            </w:r>
          </w:p>
        </w:tc>
        <w:tc>
          <w:tcPr>
            <w:tcW w:w="1938" w:type="dxa"/>
            <w:shd w:val="clear" w:color="auto" w:fill="F5F7FA"/>
          </w:tcPr>
          <w:p w14:paraId="792D2589" w14:textId="77777777" w:rsidR="0023263A" w:rsidRDefault="0023263A" w:rsidP="003B0FC0">
            <w:pPr>
              <w:spacing w:after="40"/>
            </w:pPr>
            <w:r>
              <w:rPr>
                <w:color w:val="1A1A1A"/>
                <w:sz w:val="18"/>
              </w:rPr>
              <w:t>3–5</w:t>
            </w:r>
          </w:p>
        </w:tc>
        <w:tc>
          <w:tcPr>
            <w:tcW w:w="1938" w:type="dxa"/>
            <w:shd w:val="clear" w:color="auto" w:fill="F5F7FA"/>
          </w:tcPr>
          <w:p w14:paraId="5405EA5C" w14:textId="77777777" w:rsidR="0023263A" w:rsidRDefault="0023263A" w:rsidP="003B0FC0">
            <w:pPr>
              <w:spacing w:after="40"/>
            </w:pPr>
            <w:r>
              <w:rPr>
                <w:color w:val="1A1A1A"/>
                <w:sz w:val="18"/>
              </w:rPr>
              <w:t>6–8</w:t>
            </w:r>
          </w:p>
        </w:tc>
        <w:tc>
          <w:tcPr>
            <w:tcW w:w="1938" w:type="dxa"/>
            <w:shd w:val="clear" w:color="auto" w:fill="F5F7FA"/>
          </w:tcPr>
          <w:p w14:paraId="01FCB35A" w14:textId="77777777" w:rsidR="0023263A" w:rsidRDefault="0023263A" w:rsidP="003B0FC0">
            <w:pPr>
              <w:spacing w:after="40"/>
            </w:pPr>
            <w:r>
              <w:rPr>
                <w:color w:val="1A1A1A"/>
                <w:sz w:val="18"/>
              </w:rPr>
              <w:t>9–10</w:t>
            </w:r>
          </w:p>
        </w:tc>
      </w:tr>
      <w:tr w:rsidR="0023263A" w14:paraId="1A35C80D" w14:textId="77777777" w:rsidTr="003B0FC0">
        <w:trPr>
          <w:jc w:val="center"/>
        </w:trPr>
        <w:tc>
          <w:tcPr>
            <w:tcW w:w="1938" w:type="dxa"/>
          </w:tcPr>
          <w:p w14:paraId="02E788EE" w14:textId="77777777" w:rsidR="0023263A" w:rsidRDefault="0023263A" w:rsidP="003B0FC0">
            <w:pPr>
              <w:spacing w:after="40"/>
            </w:pPr>
            <w:r>
              <w:rPr>
                <w:color w:val="1A1A1A"/>
                <w:sz w:val="18"/>
              </w:rPr>
              <w:lastRenderedPageBreak/>
              <w:t>4 · Equipo e Ingeniero Líder (15)</w:t>
            </w:r>
          </w:p>
        </w:tc>
        <w:tc>
          <w:tcPr>
            <w:tcW w:w="1938" w:type="dxa"/>
          </w:tcPr>
          <w:p w14:paraId="077CCB09" w14:textId="77777777" w:rsidR="0023263A" w:rsidRDefault="0023263A" w:rsidP="003B0FC0">
            <w:pPr>
              <w:spacing w:after="40"/>
            </w:pPr>
            <w:r>
              <w:rPr>
                <w:color w:val="1A1A1A"/>
                <w:sz w:val="18"/>
              </w:rPr>
              <w:t>0–3</w:t>
            </w:r>
          </w:p>
        </w:tc>
        <w:tc>
          <w:tcPr>
            <w:tcW w:w="1938" w:type="dxa"/>
          </w:tcPr>
          <w:p w14:paraId="5985D111" w14:textId="77777777" w:rsidR="0023263A" w:rsidRDefault="0023263A" w:rsidP="003B0FC0">
            <w:pPr>
              <w:spacing w:after="40"/>
            </w:pPr>
            <w:r>
              <w:rPr>
                <w:color w:val="1A1A1A"/>
                <w:sz w:val="18"/>
              </w:rPr>
              <w:t>4–7</w:t>
            </w:r>
          </w:p>
        </w:tc>
        <w:tc>
          <w:tcPr>
            <w:tcW w:w="1938" w:type="dxa"/>
          </w:tcPr>
          <w:p w14:paraId="7DB25DDE" w14:textId="77777777" w:rsidR="0023263A" w:rsidRDefault="0023263A" w:rsidP="003B0FC0">
            <w:pPr>
              <w:spacing w:after="40"/>
            </w:pPr>
            <w:r>
              <w:rPr>
                <w:color w:val="1A1A1A"/>
                <w:sz w:val="18"/>
              </w:rPr>
              <w:t>8–12</w:t>
            </w:r>
          </w:p>
        </w:tc>
        <w:tc>
          <w:tcPr>
            <w:tcW w:w="1938" w:type="dxa"/>
          </w:tcPr>
          <w:p w14:paraId="3EC8035C" w14:textId="77777777" w:rsidR="0023263A" w:rsidRDefault="0023263A" w:rsidP="003B0FC0">
            <w:pPr>
              <w:spacing w:after="40"/>
            </w:pPr>
            <w:r>
              <w:rPr>
                <w:color w:val="1A1A1A"/>
                <w:sz w:val="18"/>
              </w:rPr>
              <w:t>13–15</w:t>
            </w:r>
          </w:p>
        </w:tc>
      </w:tr>
      <w:tr w:rsidR="0023263A" w14:paraId="0221C536" w14:textId="77777777" w:rsidTr="003B0FC0">
        <w:trPr>
          <w:jc w:val="center"/>
        </w:trPr>
        <w:tc>
          <w:tcPr>
            <w:tcW w:w="1938" w:type="dxa"/>
            <w:shd w:val="clear" w:color="auto" w:fill="F5F7FA"/>
          </w:tcPr>
          <w:p w14:paraId="1C485638" w14:textId="77777777" w:rsidR="0023263A" w:rsidRDefault="0023263A" w:rsidP="003B0FC0">
            <w:pPr>
              <w:spacing w:after="40"/>
            </w:pPr>
            <w:r>
              <w:rPr>
                <w:color w:val="1A1A1A"/>
                <w:sz w:val="18"/>
              </w:rPr>
              <w:t>5 · Compromiso verificable (15)</w:t>
            </w:r>
          </w:p>
        </w:tc>
        <w:tc>
          <w:tcPr>
            <w:tcW w:w="1938" w:type="dxa"/>
            <w:shd w:val="clear" w:color="auto" w:fill="F5F7FA"/>
          </w:tcPr>
          <w:p w14:paraId="1E205E5D" w14:textId="77777777" w:rsidR="0023263A" w:rsidRDefault="0023263A" w:rsidP="003B0FC0">
            <w:pPr>
              <w:spacing w:after="40"/>
            </w:pPr>
            <w:r>
              <w:rPr>
                <w:color w:val="1A1A1A"/>
                <w:sz w:val="18"/>
              </w:rPr>
              <w:t>0–3</w:t>
            </w:r>
          </w:p>
        </w:tc>
        <w:tc>
          <w:tcPr>
            <w:tcW w:w="1938" w:type="dxa"/>
            <w:shd w:val="clear" w:color="auto" w:fill="F5F7FA"/>
          </w:tcPr>
          <w:p w14:paraId="5AD0DC37" w14:textId="77777777" w:rsidR="0023263A" w:rsidRDefault="0023263A" w:rsidP="003B0FC0">
            <w:pPr>
              <w:spacing w:after="40"/>
            </w:pPr>
            <w:r>
              <w:rPr>
                <w:color w:val="1A1A1A"/>
                <w:sz w:val="18"/>
              </w:rPr>
              <w:t>4–7</w:t>
            </w:r>
          </w:p>
        </w:tc>
        <w:tc>
          <w:tcPr>
            <w:tcW w:w="1938" w:type="dxa"/>
            <w:shd w:val="clear" w:color="auto" w:fill="F5F7FA"/>
          </w:tcPr>
          <w:p w14:paraId="199D204B" w14:textId="77777777" w:rsidR="0023263A" w:rsidRDefault="0023263A" w:rsidP="003B0FC0">
            <w:pPr>
              <w:spacing w:after="40"/>
            </w:pPr>
            <w:r>
              <w:rPr>
                <w:color w:val="1A1A1A"/>
                <w:sz w:val="18"/>
              </w:rPr>
              <w:t>8–12</w:t>
            </w:r>
          </w:p>
        </w:tc>
        <w:tc>
          <w:tcPr>
            <w:tcW w:w="1938" w:type="dxa"/>
            <w:shd w:val="clear" w:color="auto" w:fill="F5F7FA"/>
          </w:tcPr>
          <w:p w14:paraId="3BECAFD1" w14:textId="77777777" w:rsidR="0023263A" w:rsidRDefault="0023263A" w:rsidP="003B0FC0">
            <w:pPr>
              <w:spacing w:after="40"/>
            </w:pPr>
            <w:r>
              <w:rPr>
                <w:color w:val="1A1A1A"/>
                <w:sz w:val="18"/>
              </w:rPr>
              <w:t>13–15</w:t>
            </w:r>
          </w:p>
        </w:tc>
      </w:tr>
      <w:tr w:rsidR="0023263A" w14:paraId="656EA4EB" w14:textId="77777777" w:rsidTr="003B0FC0">
        <w:trPr>
          <w:jc w:val="center"/>
        </w:trPr>
        <w:tc>
          <w:tcPr>
            <w:tcW w:w="1938" w:type="dxa"/>
          </w:tcPr>
          <w:p w14:paraId="64976BC0" w14:textId="77777777" w:rsidR="0023263A" w:rsidRDefault="0023263A" w:rsidP="003B0FC0">
            <w:pPr>
              <w:spacing w:after="40"/>
            </w:pPr>
            <w:r>
              <w:rPr>
                <w:color w:val="1A1A1A"/>
                <w:sz w:val="18"/>
              </w:rPr>
              <w:t>6 · Video (5)</w:t>
            </w:r>
          </w:p>
        </w:tc>
        <w:tc>
          <w:tcPr>
            <w:tcW w:w="1938" w:type="dxa"/>
          </w:tcPr>
          <w:p w14:paraId="200D9B5E" w14:textId="77777777" w:rsidR="0023263A" w:rsidRDefault="0023263A" w:rsidP="003B0FC0">
            <w:pPr>
              <w:spacing w:after="40"/>
            </w:pPr>
            <w:r>
              <w:rPr>
                <w:color w:val="1A1A1A"/>
                <w:sz w:val="18"/>
              </w:rPr>
              <w:t>0–1</w:t>
            </w:r>
          </w:p>
        </w:tc>
        <w:tc>
          <w:tcPr>
            <w:tcW w:w="1938" w:type="dxa"/>
          </w:tcPr>
          <w:p w14:paraId="450E1DDF" w14:textId="77777777" w:rsidR="0023263A" w:rsidRDefault="0023263A" w:rsidP="003B0FC0">
            <w:pPr>
              <w:spacing w:after="40"/>
            </w:pPr>
            <w:r>
              <w:rPr>
                <w:color w:val="1A1A1A"/>
                <w:sz w:val="18"/>
              </w:rPr>
              <w:t>2</w:t>
            </w:r>
          </w:p>
        </w:tc>
        <w:tc>
          <w:tcPr>
            <w:tcW w:w="1938" w:type="dxa"/>
          </w:tcPr>
          <w:p w14:paraId="499CBABE" w14:textId="77777777" w:rsidR="0023263A" w:rsidRDefault="0023263A" w:rsidP="003B0FC0">
            <w:pPr>
              <w:spacing w:after="40"/>
            </w:pPr>
            <w:r>
              <w:rPr>
                <w:color w:val="1A1A1A"/>
                <w:sz w:val="18"/>
              </w:rPr>
              <w:t>3–4</w:t>
            </w:r>
          </w:p>
        </w:tc>
        <w:tc>
          <w:tcPr>
            <w:tcW w:w="1938" w:type="dxa"/>
          </w:tcPr>
          <w:p w14:paraId="1CB4F6D9" w14:textId="77777777" w:rsidR="0023263A" w:rsidRDefault="0023263A" w:rsidP="003B0FC0">
            <w:pPr>
              <w:spacing w:after="40"/>
            </w:pPr>
            <w:r>
              <w:rPr>
                <w:color w:val="1A1A1A"/>
                <w:sz w:val="18"/>
              </w:rPr>
              <w:t>5</w:t>
            </w:r>
          </w:p>
        </w:tc>
      </w:tr>
    </w:tbl>
    <w:p w14:paraId="60B9AD27" w14:textId="77777777" w:rsidR="0023263A" w:rsidRDefault="0023263A" w:rsidP="0023263A">
      <w:pPr>
        <w:spacing w:after="80"/>
      </w:pPr>
    </w:p>
    <w:p w14:paraId="4E348C94" w14:textId="77777777" w:rsidR="0023263A" w:rsidRDefault="0023263A" w:rsidP="0023263A">
      <w:pPr>
        <w:spacing w:after="120"/>
        <w:jc w:val="both"/>
      </w:pPr>
      <w:r>
        <w:rPr>
          <w:color w:val="1A1A1A"/>
          <w:sz w:val="20"/>
        </w:rPr>
        <w:t>Cada criterio indica quién interviene en él. La integración de las puntuaciones del evaluador técnico externo y de los miembros del Comité se rige por el reglamento interno del Comité Evaluador.</w:t>
      </w:r>
    </w:p>
    <w:p w14:paraId="5101FAAF" w14:textId="77777777" w:rsidR="0023263A" w:rsidRDefault="0023263A" w:rsidP="0023263A">
      <w:pPr>
        <w:pStyle w:val="Ttulo1"/>
        <w:pBdr>
          <w:bottom w:val="single" w:sz="6" w:space="6" w:color="072357"/>
        </w:pBdr>
        <w:spacing w:before="340" w:after="140"/>
      </w:pPr>
      <w:r>
        <w:rPr>
          <w:rFonts w:ascii="Arial" w:hAnsi="Arial"/>
          <w:b/>
          <w:color w:val="072357"/>
          <w:sz w:val="25"/>
        </w:rPr>
        <w:t>5. Los seis criterios</w:t>
      </w:r>
    </w:p>
    <w:p w14:paraId="53FADB26" w14:textId="77777777" w:rsidR="0023263A" w:rsidRDefault="0023263A" w:rsidP="0023263A">
      <w:pPr>
        <w:pStyle w:val="Ttulo2"/>
        <w:spacing w:before="280" w:after="100"/>
      </w:pPr>
      <w:r>
        <w:rPr>
          <w:rFonts w:ascii="Arial" w:hAnsi="Arial"/>
          <w:b/>
          <w:color w:val="072357"/>
          <w:sz w:val="22"/>
        </w:rPr>
        <w:t>Criterio 1 · Calidad del proyecto de diseño — 25 puntos</w:t>
      </w:r>
    </w:p>
    <w:p w14:paraId="59B616E5" w14:textId="77777777" w:rsidR="0023263A" w:rsidRDefault="0023263A" w:rsidP="0023263A">
      <w:pPr>
        <w:spacing w:after="20"/>
        <w:jc w:val="both"/>
      </w:pPr>
      <w:r>
        <w:rPr>
          <w:b/>
          <w:color w:val="5C6779"/>
          <w:sz w:val="19"/>
        </w:rPr>
        <w:t>Se lee en:</w:t>
      </w:r>
      <w:r>
        <w:rPr>
          <w:color w:val="5C6779"/>
          <w:sz w:val="19"/>
        </w:rPr>
        <w:t xml:space="preserve"> las secciones B.1 y B.2 de la ficha de proyecto (Anexo B).</w:t>
      </w:r>
    </w:p>
    <w:p w14:paraId="39994415" w14:textId="77777777" w:rsidR="0023263A" w:rsidRDefault="0023263A" w:rsidP="0023263A">
      <w:pPr>
        <w:spacing w:after="120"/>
        <w:jc w:val="both"/>
      </w:pPr>
      <w:r>
        <w:rPr>
          <w:b/>
          <w:color w:val="5C6779"/>
          <w:sz w:val="19"/>
        </w:rPr>
        <w:t>Puntúan:</w:t>
      </w:r>
      <w:r>
        <w:rPr>
          <w:color w:val="5C6779"/>
          <w:sz w:val="19"/>
        </w:rPr>
        <w:t xml:space="preserve"> evaluador técnico externo y Comité Evaluador.</w:t>
      </w:r>
    </w:p>
    <w:p w14:paraId="47D59AE4" w14:textId="77777777" w:rsidR="0023263A" w:rsidRDefault="0023263A" w:rsidP="0023263A">
      <w:pPr>
        <w:spacing w:after="120"/>
        <w:jc w:val="both"/>
      </w:pPr>
      <w:r>
        <w:rPr>
          <w:b/>
          <w:color w:val="072357"/>
          <w:sz w:val="20"/>
        </w:rPr>
        <w:t>Insuficiente · 0–6.</w:t>
      </w:r>
      <w:r>
        <w:rPr>
          <w:color w:val="072357"/>
          <w:sz w:val="20"/>
        </w:rPr>
        <w:t xml:space="preserve"> El entregable no se identifica como un sistema electrónico concreto, o se describe en términos de función comercial sin decir qué se va a diseñar. El problema y la solución no se conectan: la necesidad enunciada no requiere el producto propuesto, o el producto no la resuelve. No hay restricciones técnicas declaradas.</w:t>
      </w:r>
    </w:p>
    <w:p w14:paraId="68A3FEAF" w14:textId="77777777" w:rsidR="0023263A" w:rsidRDefault="0023263A" w:rsidP="0023263A">
      <w:pPr>
        <w:spacing w:after="120"/>
        <w:jc w:val="both"/>
      </w:pPr>
      <w:r>
        <w:rPr>
          <w:b/>
          <w:color w:val="072357"/>
          <w:sz w:val="20"/>
        </w:rPr>
        <w:t>Básico · 7–12.</w:t>
      </w:r>
      <w:r>
        <w:rPr>
          <w:color w:val="072357"/>
          <w:sz w:val="20"/>
        </w:rPr>
        <w:t xml:space="preserve"> El entregable se identifica —tipo de sistema y función principal— pero sin restricciones ni condiciones de operación. La coherencia entre problema y solución es plausible, no argumentada. El alcance es genérico: no permite distinguir doce meses de trabajo de treinta y seis.</w:t>
      </w:r>
    </w:p>
    <w:p w14:paraId="766E61F4" w14:textId="77777777" w:rsidR="0023263A" w:rsidRDefault="0023263A" w:rsidP="0023263A">
      <w:pPr>
        <w:spacing w:after="120"/>
        <w:jc w:val="both"/>
      </w:pPr>
      <w:r>
        <w:rPr>
          <w:b/>
          <w:color w:val="072357"/>
          <w:sz w:val="20"/>
        </w:rPr>
        <w:t>Sólido · 13–20.</w:t>
      </w:r>
      <w:r>
        <w:rPr>
          <w:color w:val="072357"/>
          <w:sz w:val="20"/>
        </w:rPr>
        <w:t xml:space="preserve"> El entregable está definido con tipo de sistema, función principal y las restricciones que la empresa conoce hoy: alimentación, entorno, interfaces, normativa aplicable. El problema se enuncia con su magnitud y con quién lo padece, y la solución responde a él punto por punto. El alcance es verosímil en doce meses.</w:t>
      </w:r>
    </w:p>
    <w:p w14:paraId="03B0BA71" w14:textId="77777777" w:rsidR="0023263A" w:rsidRDefault="0023263A" w:rsidP="0023263A">
      <w:pPr>
        <w:spacing w:after="120"/>
        <w:jc w:val="both"/>
      </w:pPr>
      <w:r>
        <w:rPr>
          <w:b/>
          <w:color w:val="072357"/>
          <w:sz w:val="20"/>
        </w:rPr>
        <w:t>Sobresaliente · 21–25.</w:t>
      </w:r>
      <w:r>
        <w:rPr>
          <w:color w:val="072357"/>
          <w:sz w:val="20"/>
        </w:rPr>
        <w:t xml:space="preserve"> Todo lo anterior, y además la empresa demuestra que pensó el problema antes de esta convocatoria: cuantifica la necesidad, explica por qué lo disponible en el mercado no le sirve, y declara las incertidumbres técnicas que aún no ha resuelto. El alcance está acotado con criterio propio, no con el que la convocatoria sugiere.</w:t>
      </w:r>
    </w:p>
    <w:p w14:paraId="2DED2AA3" w14:textId="77777777" w:rsidR="0023263A" w:rsidRDefault="0023263A" w:rsidP="0023263A">
      <w:pPr>
        <w:pBdr>
          <w:left w:val="single" w:sz="12" w:space="10" w:color="072357"/>
        </w:pBdr>
        <w:spacing w:before="80" w:after="160"/>
        <w:ind w:left="173"/>
        <w:jc w:val="both"/>
      </w:pPr>
      <w:r>
        <w:rPr>
          <w:b/>
          <w:color w:val="072357"/>
          <w:sz w:val="19"/>
        </w:rPr>
        <w:t>Nota de aplicación.</w:t>
      </w:r>
      <w:r>
        <w:rPr>
          <w:color w:val="072357"/>
          <w:sz w:val="19"/>
        </w:rPr>
        <w:t xml:space="preserve"> La ambición del proyecto no puntúa por sí misma; el realismo sí. Un proyecto modesto y bien acotado puntúa por encima de uno ambicioso e indefinido. La rúbrica mide la capacidad que quedará instalada, no el tamaño de lo que se promete.</w:t>
      </w:r>
    </w:p>
    <w:p w14:paraId="7E8981C8" w14:textId="77777777" w:rsidR="0023263A" w:rsidRDefault="0023263A" w:rsidP="0023263A">
      <w:pPr>
        <w:pStyle w:val="Ttulo2"/>
        <w:spacing w:before="280" w:after="100"/>
      </w:pPr>
      <w:r>
        <w:rPr>
          <w:rFonts w:ascii="Arial" w:hAnsi="Arial"/>
          <w:b/>
          <w:color w:val="072357"/>
          <w:sz w:val="22"/>
        </w:rPr>
        <w:t>Criterio 2 · Capacidad de absorción — 20 puntos</w:t>
      </w:r>
    </w:p>
    <w:p w14:paraId="7C44DC4D" w14:textId="77777777" w:rsidR="0023263A" w:rsidRDefault="0023263A" w:rsidP="0023263A">
      <w:pPr>
        <w:spacing w:after="20"/>
        <w:jc w:val="both"/>
      </w:pPr>
      <w:r>
        <w:rPr>
          <w:b/>
          <w:color w:val="5C6779"/>
          <w:sz w:val="19"/>
        </w:rPr>
        <w:t>Se lee en:</w:t>
      </w:r>
      <w:r>
        <w:rPr>
          <w:color w:val="5C6779"/>
          <w:sz w:val="19"/>
        </w:rPr>
        <w:t xml:space="preserve"> las secciones B.3 y B.4 de la ficha de proyecto.</w:t>
      </w:r>
    </w:p>
    <w:p w14:paraId="78C45F8B" w14:textId="77777777" w:rsidR="0023263A" w:rsidRDefault="0023263A" w:rsidP="0023263A">
      <w:pPr>
        <w:spacing w:after="120"/>
        <w:jc w:val="both"/>
      </w:pPr>
      <w:r>
        <w:rPr>
          <w:b/>
          <w:color w:val="5C6779"/>
          <w:sz w:val="19"/>
        </w:rPr>
        <w:t>Puntúan:</w:t>
      </w:r>
      <w:r>
        <w:rPr>
          <w:color w:val="5C6779"/>
          <w:sz w:val="19"/>
        </w:rPr>
        <w:t xml:space="preserve"> evaluador técnico externo y Comité Evaluador.</w:t>
      </w:r>
    </w:p>
    <w:p w14:paraId="20925527" w14:textId="77777777" w:rsidR="0023263A" w:rsidRDefault="0023263A" w:rsidP="0023263A">
      <w:pPr>
        <w:spacing w:after="120"/>
        <w:jc w:val="both"/>
      </w:pPr>
      <w:r>
        <w:rPr>
          <w:b/>
          <w:color w:val="072357"/>
          <w:sz w:val="20"/>
        </w:rPr>
        <w:t>Insuficiente · 0–5.</w:t>
      </w:r>
      <w:r>
        <w:rPr>
          <w:color w:val="072357"/>
          <w:sz w:val="20"/>
        </w:rPr>
        <w:t xml:space="preserve"> No hay equipo técnico propio identificable, o el único perfil técnico es el Ingeniero Líder sin nadie más. La empresa describe lo que quiere aprender, pero no quién lo sostendrá. La ejecución dependería íntegramente del acompañamiento externo.</w:t>
      </w:r>
    </w:p>
    <w:p w14:paraId="28D9842C" w14:textId="77777777" w:rsidR="0023263A" w:rsidRDefault="0023263A" w:rsidP="0023263A">
      <w:pPr>
        <w:spacing w:after="120"/>
        <w:jc w:val="both"/>
      </w:pPr>
      <w:r>
        <w:rPr>
          <w:b/>
          <w:color w:val="072357"/>
          <w:sz w:val="20"/>
        </w:rPr>
        <w:t>Básico · 6–10.</w:t>
      </w:r>
      <w:r>
        <w:rPr>
          <w:color w:val="072357"/>
          <w:sz w:val="20"/>
        </w:rPr>
        <w:t xml:space="preserve"> Existe un equipo técnico, pero su composición no se detalla, o su experiencia es ajena al dominio del proyecto —desarrollo de software para un proyecto de hardware— sin que se declare cómo se tenderá el puente. La empresa reconoce su punto de partida pero no explica cómo cerrará la distancia.</w:t>
      </w:r>
    </w:p>
    <w:p w14:paraId="3BB05F01" w14:textId="77777777" w:rsidR="0023263A" w:rsidRDefault="0023263A" w:rsidP="0023263A">
      <w:pPr>
        <w:spacing w:after="120"/>
        <w:jc w:val="both"/>
      </w:pPr>
      <w:r>
        <w:rPr>
          <w:b/>
          <w:color w:val="072357"/>
          <w:sz w:val="20"/>
        </w:rPr>
        <w:lastRenderedPageBreak/>
        <w:t>Sólido · 11–16.</w:t>
      </w:r>
      <w:r>
        <w:rPr>
          <w:color w:val="072357"/>
          <w:sz w:val="20"/>
        </w:rPr>
        <w:t xml:space="preserve"> Equipo técnico propio, con personas, funciones y dedicaciones nombradas. El punto de partida está declarado con franqueza, incluido lo que la empresa no sabe hacer hoy. Existe una vía real para llevar el producto al mercado. Se entiende quién hará el segundo diseño.</w:t>
      </w:r>
    </w:p>
    <w:p w14:paraId="78398D17" w14:textId="77777777" w:rsidR="0023263A" w:rsidRDefault="0023263A" w:rsidP="0023263A">
      <w:pPr>
        <w:spacing w:after="120"/>
        <w:jc w:val="both"/>
      </w:pPr>
      <w:r>
        <w:rPr>
          <w:b/>
          <w:color w:val="072357"/>
          <w:sz w:val="20"/>
        </w:rPr>
        <w:t>Sobresaliente · 17–20.</w:t>
      </w:r>
      <w:r>
        <w:rPr>
          <w:color w:val="072357"/>
          <w:sz w:val="20"/>
        </w:rPr>
        <w:t xml:space="preserve"> Todo lo anterior, y la empresa ya ha internalizado capacidades antes —herramientas, procesos o personas— y puede describir cómo lo hizo. La estructura que sostendrá la capacidad existe hoy; no está prometida para después del programa.</w:t>
      </w:r>
    </w:p>
    <w:p w14:paraId="52E6A27E" w14:textId="77777777" w:rsidR="0023263A" w:rsidRDefault="0023263A" w:rsidP="0023263A">
      <w:pPr>
        <w:pBdr>
          <w:left w:val="single" w:sz="12" w:space="10" w:color="072357"/>
        </w:pBdr>
        <w:spacing w:before="80" w:after="160"/>
        <w:ind w:left="173"/>
        <w:jc w:val="both"/>
      </w:pPr>
      <w:r>
        <w:rPr>
          <w:b/>
          <w:color w:val="072357"/>
          <w:sz w:val="19"/>
        </w:rPr>
        <w:t>Nota de aplicación.</w:t>
      </w:r>
      <w:r>
        <w:rPr>
          <w:color w:val="072357"/>
          <w:sz w:val="19"/>
        </w:rPr>
        <w:t xml:space="preserve"> Este es el criterio que más postulaciones va a separar, y el que mejor expresa el propósito del programa: el C-TASC AIP no financia un diseño, financia la instalación de una capacidad. Declarar con franqueza lo que no se sabe hacer puntúa por encima de afirmar una solvencia que la ficha no sostiene.</w:t>
      </w:r>
    </w:p>
    <w:p w14:paraId="74F48E6B" w14:textId="77777777" w:rsidR="0023263A" w:rsidRDefault="0023263A" w:rsidP="0023263A">
      <w:pPr>
        <w:pStyle w:val="Ttulo2"/>
        <w:spacing w:before="280" w:after="100"/>
      </w:pPr>
      <w:r>
        <w:rPr>
          <w:rFonts w:ascii="Arial" w:hAnsi="Arial"/>
          <w:b/>
          <w:color w:val="072357"/>
          <w:sz w:val="22"/>
        </w:rPr>
        <w:t>Criterio 3 · Continuidad de negocio y mercado — 20 puntos</w:t>
      </w:r>
    </w:p>
    <w:p w14:paraId="6508861F" w14:textId="77777777" w:rsidR="0023263A" w:rsidRDefault="0023263A" w:rsidP="0023263A">
      <w:pPr>
        <w:spacing w:after="120"/>
        <w:jc w:val="both"/>
      </w:pPr>
      <w:r>
        <w:rPr>
          <w:color w:val="1A1A1A"/>
          <w:sz w:val="20"/>
        </w:rPr>
        <w:t>Se descompone en dos subcriterios de diez puntos.</w:t>
      </w:r>
    </w:p>
    <w:p w14:paraId="130E38CB" w14:textId="77777777" w:rsidR="0023263A" w:rsidRDefault="0023263A" w:rsidP="0023263A">
      <w:pPr>
        <w:pStyle w:val="Ttulo3"/>
      </w:pPr>
      <w:r>
        <w:rPr>
          <w:b/>
          <w:color w:val="2A4E9E"/>
          <w:sz w:val="20"/>
        </w:rPr>
        <w:t>3.a · Pertenencia a la línea de negocio — 10 puntos</w:t>
      </w:r>
    </w:p>
    <w:p w14:paraId="23A57BF2" w14:textId="77777777" w:rsidR="0023263A" w:rsidRDefault="0023263A" w:rsidP="0023263A">
      <w:pPr>
        <w:spacing w:after="20"/>
        <w:jc w:val="both"/>
      </w:pPr>
      <w:r>
        <w:rPr>
          <w:b/>
          <w:color w:val="5C6779"/>
          <w:sz w:val="19"/>
        </w:rPr>
        <w:t>Se lee en:</w:t>
      </w:r>
      <w:r>
        <w:rPr>
          <w:color w:val="5C6779"/>
          <w:sz w:val="19"/>
        </w:rPr>
        <w:t xml:space="preserve"> las secciones B.1 y B.5 de la ficha de proyecto.</w:t>
      </w:r>
    </w:p>
    <w:p w14:paraId="1E90AF3C" w14:textId="77777777" w:rsidR="0023263A" w:rsidRDefault="0023263A" w:rsidP="0023263A">
      <w:pPr>
        <w:spacing w:after="120"/>
        <w:jc w:val="both"/>
      </w:pPr>
      <w:r>
        <w:rPr>
          <w:b/>
          <w:color w:val="5C6779"/>
          <w:sz w:val="19"/>
        </w:rPr>
        <w:t>Puntúan:</w:t>
      </w:r>
      <w:r>
        <w:rPr>
          <w:color w:val="5C6779"/>
          <w:sz w:val="19"/>
        </w:rPr>
        <w:t xml:space="preserve"> los miembros del Comité Evaluador Empresarial.</w:t>
      </w:r>
    </w:p>
    <w:p w14:paraId="2F9F4CBE" w14:textId="77777777" w:rsidR="0023263A" w:rsidRDefault="0023263A" w:rsidP="0023263A">
      <w:pPr>
        <w:spacing w:after="120"/>
        <w:jc w:val="both"/>
      </w:pPr>
      <w:r>
        <w:rPr>
          <w:b/>
          <w:color w:val="072357"/>
          <w:sz w:val="20"/>
        </w:rPr>
        <w:t>Insuficiente · 0–2.</w:t>
      </w:r>
      <w:r>
        <w:rPr>
          <w:color w:val="072357"/>
          <w:sz w:val="20"/>
        </w:rPr>
        <w:t xml:space="preserve"> El producto no pertenece a la oferta de la empresa. Es un desarrollo interno de una sola vez, o una exploración sin continuidad comercial declarada.</w:t>
      </w:r>
    </w:p>
    <w:p w14:paraId="0D4FD47E" w14:textId="77777777" w:rsidR="0023263A" w:rsidRDefault="0023263A" w:rsidP="0023263A">
      <w:pPr>
        <w:spacing w:after="120"/>
        <w:jc w:val="both"/>
      </w:pPr>
      <w:r>
        <w:rPr>
          <w:b/>
          <w:color w:val="072357"/>
          <w:sz w:val="20"/>
        </w:rPr>
        <w:t>Básico · 3–5.</w:t>
      </w:r>
      <w:r>
        <w:rPr>
          <w:color w:val="072357"/>
          <w:sz w:val="20"/>
        </w:rPr>
        <w:t xml:space="preserve"> El producto guarda relación con la actividad de la empresa, pero no se dice si se comercializará ni cómo se integra en su oferta.</w:t>
      </w:r>
    </w:p>
    <w:p w14:paraId="4A97937B" w14:textId="77777777" w:rsidR="0023263A" w:rsidRDefault="0023263A" w:rsidP="0023263A">
      <w:pPr>
        <w:spacing w:after="120"/>
        <w:jc w:val="both"/>
      </w:pPr>
      <w:r>
        <w:rPr>
          <w:b/>
          <w:color w:val="072357"/>
          <w:sz w:val="20"/>
        </w:rPr>
        <w:t>Sólido · 6–8.</w:t>
      </w:r>
      <w:r>
        <w:rPr>
          <w:color w:val="072357"/>
          <w:sz w:val="20"/>
        </w:rPr>
        <w:t xml:space="preserve"> El producto pertenece a la línea de negocio: se comercializa por sí mismo o se integra en algo que la empresa ya vende. La empresa declara qué hará con la capacidad instalada al terminar el programa.</w:t>
      </w:r>
    </w:p>
    <w:p w14:paraId="3401A7E2" w14:textId="77777777" w:rsidR="0023263A" w:rsidRDefault="0023263A" w:rsidP="0023263A">
      <w:pPr>
        <w:spacing w:after="120"/>
        <w:jc w:val="both"/>
      </w:pPr>
      <w:r>
        <w:rPr>
          <w:b/>
          <w:color w:val="072357"/>
          <w:sz w:val="20"/>
        </w:rPr>
        <w:t>Sobresaliente · 9–10.</w:t>
      </w:r>
      <w:r>
        <w:rPr>
          <w:color w:val="072357"/>
          <w:sz w:val="20"/>
        </w:rPr>
        <w:t xml:space="preserve"> Todo lo anterior, y el proyecto está inscrito en una trayectoria: sustituye un diseño externo que la empresa hoy paga, o abre una línea con demanda ya identificada. La capacidad instalada tiene un segundo uso previsto.</w:t>
      </w:r>
    </w:p>
    <w:p w14:paraId="3E92468B" w14:textId="77777777" w:rsidR="0023263A" w:rsidRDefault="0023263A" w:rsidP="0023263A">
      <w:pPr>
        <w:pStyle w:val="Ttulo3"/>
      </w:pPr>
      <w:r>
        <w:rPr>
          <w:b/>
          <w:color w:val="2A4E9E"/>
          <w:sz w:val="20"/>
        </w:rPr>
        <w:t>3.b · Mercado, cliente y ruta de comercialización — 10 puntos</w:t>
      </w:r>
    </w:p>
    <w:p w14:paraId="0CA91A3E" w14:textId="77777777" w:rsidR="0023263A" w:rsidRDefault="0023263A" w:rsidP="0023263A">
      <w:pPr>
        <w:spacing w:after="20"/>
        <w:jc w:val="both"/>
      </w:pPr>
      <w:r>
        <w:rPr>
          <w:b/>
          <w:color w:val="5C6779"/>
          <w:sz w:val="19"/>
        </w:rPr>
        <w:t>Se lee en:</w:t>
      </w:r>
      <w:r>
        <w:rPr>
          <w:color w:val="5C6779"/>
          <w:sz w:val="19"/>
        </w:rPr>
        <w:t xml:space="preserve"> la sección B.1 de la ficha de proyecto y, si aplica, la B.6.</w:t>
      </w:r>
    </w:p>
    <w:p w14:paraId="4E606489" w14:textId="77777777" w:rsidR="0023263A" w:rsidRDefault="0023263A" w:rsidP="0023263A">
      <w:pPr>
        <w:spacing w:after="120"/>
        <w:jc w:val="both"/>
      </w:pPr>
      <w:r>
        <w:rPr>
          <w:b/>
          <w:color w:val="5C6779"/>
          <w:sz w:val="19"/>
        </w:rPr>
        <w:t>Puntúan:</w:t>
      </w:r>
      <w:r>
        <w:rPr>
          <w:color w:val="5C6779"/>
          <w:sz w:val="19"/>
        </w:rPr>
        <w:t xml:space="preserve"> los miembros del Comité Evaluador Empresarial.</w:t>
      </w:r>
    </w:p>
    <w:p w14:paraId="62FDB575" w14:textId="77777777" w:rsidR="0023263A" w:rsidRDefault="0023263A" w:rsidP="0023263A">
      <w:pPr>
        <w:spacing w:after="120"/>
        <w:jc w:val="both"/>
      </w:pPr>
      <w:r>
        <w:rPr>
          <w:b/>
          <w:color w:val="072357"/>
          <w:sz w:val="20"/>
        </w:rPr>
        <w:t>Insuficiente · 0–2.</w:t>
      </w:r>
      <w:r>
        <w:rPr>
          <w:color w:val="072357"/>
          <w:sz w:val="20"/>
        </w:rPr>
        <w:t xml:space="preserve"> El mercado se enuncia por categoría —«el sector logístico»— sin tamaño, sin cliente y sin vía de venta.</w:t>
      </w:r>
    </w:p>
    <w:p w14:paraId="3A27339A" w14:textId="77777777" w:rsidR="0023263A" w:rsidRDefault="0023263A" w:rsidP="0023263A">
      <w:pPr>
        <w:spacing w:after="120"/>
        <w:jc w:val="both"/>
      </w:pPr>
      <w:r>
        <w:rPr>
          <w:b/>
          <w:color w:val="072357"/>
          <w:sz w:val="20"/>
        </w:rPr>
        <w:t>Básico · 3–5.</w:t>
      </w:r>
      <w:r>
        <w:rPr>
          <w:color w:val="072357"/>
          <w:sz w:val="20"/>
        </w:rPr>
        <w:t xml:space="preserve"> Hay un mercado descrito y un tipo de cliente, pero ninguna evidencia de contacto ni ruta de comercialización.</w:t>
      </w:r>
    </w:p>
    <w:p w14:paraId="0CF37C95" w14:textId="77777777" w:rsidR="0023263A" w:rsidRDefault="0023263A" w:rsidP="0023263A">
      <w:pPr>
        <w:spacing w:after="120"/>
        <w:jc w:val="both"/>
      </w:pPr>
      <w:r>
        <w:rPr>
          <w:b/>
          <w:color w:val="072357"/>
          <w:sz w:val="20"/>
        </w:rPr>
        <w:t>Sólido · 6–8.</w:t>
      </w:r>
      <w:r>
        <w:rPr>
          <w:color w:val="072357"/>
          <w:sz w:val="20"/>
        </w:rPr>
        <w:t xml:space="preserve"> Mercado acotado, cliente tipo identificado y una ruta de venta concreta: canal propio, distribuidor, o integración en un producto existente.</w:t>
      </w:r>
    </w:p>
    <w:p w14:paraId="73FF073D" w14:textId="77777777" w:rsidR="0023263A" w:rsidRDefault="0023263A" w:rsidP="0023263A">
      <w:pPr>
        <w:spacing w:after="120"/>
        <w:jc w:val="both"/>
      </w:pPr>
      <w:r>
        <w:rPr>
          <w:b/>
          <w:color w:val="072357"/>
          <w:sz w:val="20"/>
        </w:rPr>
        <w:t>Sobresaliente · 9–10.</w:t>
      </w:r>
      <w:r>
        <w:rPr>
          <w:color w:val="072357"/>
          <w:sz w:val="20"/>
        </w:rPr>
        <w:t xml:space="preserve"> Todo lo anterior, con un cliente identificado y la relación descrita, o una empresa tractora con aporte económico. La empresa conoce el precio al que tendría que llegar para competir.</w:t>
      </w:r>
    </w:p>
    <w:p w14:paraId="19C5A852" w14:textId="77777777" w:rsidR="0023263A" w:rsidRDefault="0023263A" w:rsidP="0023263A">
      <w:pPr>
        <w:pStyle w:val="Ttulo2"/>
        <w:spacing w:before="280" w:after="100"/>
      </w:pPr>
      <w:r>
        <w:rPr>
          <w:rFonts w:ascii="Arial" w:hAnsi="Arial"/>
          <w:b/>
          <w:color w:val="072357"/>
          <w:sz w:val="22"/>
        </w:rPr>
        <w:t>Criterio 4 · Equipo e Ingeniero Líder — 15 puntos</w:t>
      </w:r>
    </w:p>
    <w:p w14:paraId="4ED720B0" w14:textId="77777777" w:rsidR="0023263A" w:rsidRDefault="0023263A" w:rsidP="0023263A">
      <w:pPr>
        <w:spacing w:after="20"/>
        <w:jc w:val="both"/>
      </w:pPr>
      <w:r>
        <w:rPr>
          <w:b/>
          <w:color w:val="5C6779"/>
          <w:sz w:val="19"/>
        </w:rPr>
        <w:t>Se lee en:</w:t>
      </w:r>
      <w:r>
        <w:rPr>
          <w:color w:val="5C6779"/>
          <w:sz w:val="19"/>
        </w:rPr>
        <w:t xml:space="preserve"> la sección B.4 de la ficha de proyecto y el Anexo C.</w:t>
      </w:r>
    </w:p>
    <w:p w14:paraId="2E0DE40B" w14:textId="77777777" w:rsidR="0023263A" w:rsidRDefault="0023263A" w:rsidP="0023263A">
      <w:pPr>
        <w:spacing w:after="120"/>
        <w:jc w:val="both"/>
      </w:pPr>
      <w:r>
        <w:rPr>
          <w:b/>
          <w:color w:val="5C6779"/>
          <w:sz w:val="19"/>
        </w:rPr>
        <w:t>Puntúan:</w:t>
      </w:r>
      <w:r>
        <w:rPr>
          <w:color w:val="5C6779"/>
          <w:sz w:val="19"/>
        </w:rPr>
        <w:t xml:space="preserve"> evaluador técnico externo y Comité Evaluador.</w:t>
      </w:r>
    </w:p>
    <w:p w14:paraId="65F2473F" w14:textId="77777777" w:rsidR="0023263A" w:rsidRDefault="0023263A" w:rsidP="0023263A">
      <w:pPr>
        <w:spacing w:after="120"/>
        <w:jc w:val="both"/>
      </w:pPr>
      <w:r>
        <w:rPr>
          <w:b/>
          <w:color w:val="072357"/>
          <w:sz w:val="20"/>
        </w:rPr>
        <w:t>Insuficiente · 0–3.</w:t>
      </w:r>
      <w:r>
        <w:rPr>
          <w:color w:val="072357"/>
          <w:sz w:val="20"/>
        </w:rPr>
        <w:t xml:space="preserve"> El Ingeniero Líder cumple los requisitos formales, pero su experiencia en electrónica no se acredita de ninguna forma. No hay más personas nombradas. La dedicación declarada no es compatible con las cuatrocientas horas de actividades estructuradas.</w:t>
      </w:r>
    </w:p>
    <w:p w14:paraId="1AA42025" w14:textId="77777777" w:rsidR="0023263A" w:rsidRDefault="0023263A" w:rsidP="0023263A">
      <w:pPr>
        <w:spacing w:after="120"/>
        <w:jc w:val="both"/>
      </w:pPr>
      <w:r>
        <w:rPr>
          <w:b/>
          <w:color w:val="072357"/>
          <w:sz w:val="20"/>
        </w:rPr>
        <w:lastRenderedPageBreak/>
        <w:t>Básico · 4–7.</w:t>
      </w:r>
      <w:r>
        <w:rPr>
          <w:color w:val="072357"/>
          <w:sz w:val="20"/>
        </w:rPr>
        <w:t xml:space="preserve"> Perfil de ingeniería con experiencia declarada, pero sin evidencia: ni proyectos, ni productos, ni responsabilidades concretas. El resto del equipo se menciona en bloque, sin funciones.</w:t>
      </w:r>
    </w:p>
    <w:p w14:paraId="2571E045" w14:textId="77777777" w:rsidR="0023263A" w:rsidRDefault="0023263A" w:rsidP="0023263A">
      <w:pPr>
        <w:spacing w:after="120"/>
        <w:jc w:val="both"/>
      </w:pPr>
      <w:r>
        <w:rPr>
          <w:b/>
          <w:color w:val="072357"/>
          <w:sz w:val="20"/>
        </w:rPr>
        <w:t>Sólido · 8–12.</w:t>
      </w:r>
      <w:r>
        <w:rPr>
          <w:color w:val="072357"/>
          <w:sz w:val="20"/>
        </w:rPr>
        <w:t xml:space="preserve"> El Ingeniero Líder acredita experiencia en electrónica con proyectos o productos concretos, aunque sean de alcance reducido. El equipo está nombrado por función y dedicación. La disponibilidad para el bloque presencial se declara sin ambigüedad.</w:t>
      </w:r>
    </w:p>
    <w:p w14:paraId="1CB56CB8" w14:textId="77777777" w:rsidR="0023263A" w:rsidRDefault="0023263A" w:rsidP="0023263A">
      <w:pPr>
        <w:spacing w:after="120"/>
        <w:jc w:val="both"/>
      </w:pPr>
      <w:r>
        <w:rPr>
          <w:b/>
          <w:color w:val="072357"/>
          <w:sz w:val="20"/>
        </w:rPr>
        <w:t>Sobresaliente · 13–15.</w:t>
      </w:r>
      <w:r>
        <w:rPr>
          <w:color w:val="072357"/>
          <w:sz w:val="20"/>
        </w:rPr>
        <w:t xml:space="preserve"> Todo lo anterior, y el equipo tiene profundidad: más de una persona puede sostener el trabajo técnico si el Ingeniero Líder falta. Hay evidencia de trabajo previo conjunto sobre problemas de electrónica.</w:t>
      </w:r>
    </w:p>
    <w:p w14:paraId="7718846A" w14:textId="77777777" w:rsidR="0023263A" w:rsidRDefault="0023263A" w:rsidP="0023263A">
      <w:pPr>
        <w:pBdr>
          <w:left w:val="single" w:sz="12" w:space="10" w:color="072357"/>
        </w:pBdr>
        <w:spacing w:before="80" w:after="160"/>
        <w:ind w:left="173"/>
        <w:jc w:val="both"/>
      </w:pPr>
      <w:r>
        <w:rPr>
          <w:b/>
          <w:color w:val="072357"/>
          <w:sz w:val="19"/>
        </w:rPr>
        <w:t>Nota de aplicación.</w:t>
      </w:r>
      <w:r>
        <w:rPr>
          <w:color w:val="072357"/>
          <w:sz w:val="19"/>
        </w:rPr>
        <w:t xml:space="preserve"> El perfil de ingeniería y la antigüedad mínima de un año son requisitos formales, verificados antes de la puntuación. Su incumplimiento excluye la postulación y no se traduce en un puntaje bajo.</w:t>
      </w:r>
    </w:p>
    <w:p w14:paraId="029CD1D8" w14:textId="77777777" w:rsidR="0023263A" w:rsidRDefault="0023263A" w:rsidP="0023263A">
      <w:pPr>
        <w:pStyle w:val="Ttulo2"/>
        <w:spacing w:before="280" w:after="100"/>
      </w:pPr>
      <w:r>
        <w:rPr>
          <w:rFonts w:ascii="Arial" w:hAnsi="Arial"/>
          <w:b/>
          <w:color w:val="072357"/>
          <w:sz w:val="22"/>
        </w:rPr>
        <w:t>Criterio 5 · Compromiso verificable de la empresa — 15 puntos</w:t>
      </w:r>
    </w:p>
    <w:p w14:paraId="552AFE58" w14:textId="77777777" w:rsidR="0023263A" w:rsidRDefault="0023263A" w:rsidP="0023263A">
      <w:pPr>
        <w:spacing w:after="20"/>
        <w:jc w:val="both"/>
      </w:pPr>
      <w:r>
        <w:rPr>
          <w:b/>
          <w:color w:val="5C6779"/>
          <w:sz w:val="19"/>
        </w:rPr>
        <w:t>Se lee en:</w:t>
      </w:r>
      <w:r>
        <w:rPr>
          <w:color w:val="5C6779"/>
          <w:sz w:val="19"/>
        </w:rPr>
        <w:t xml:space="preserve"> los campos abiertos de la Parte II de la carta de compromiso (Anexo D).</w:t>
      </w:r>
    </w:p>
    <w:p w14:paraId="6D6C5C9F" w14:textId="77777777" w:rsidR="0023263A" w:rsidRDefault="0023263A" w:rsidP="0023263A">
      <w:pPr>
        <w:spacing w:after="120"/>
        <w:jc w:val="both"/>
      </w:pPr>
      <w:r>
        <w:rPr>
          <w:b/>
          <w:color w:val="5C6779"/>
          <w:sz w:val="19"/>
        </w:rPr>
        <w:t>Puntúan:</w:t>
      </w:r>
      <w:r>
        <w:rPr>
          <w:color w:val="5C6779"/>
          <w:sz w:val="19"/>
        </w:rPr>
        <w:t xml:space="preserve"> los miembros del Comité Evaluador Empresarial.</w:t>
      </w:r>
    </w:p>
    <w:p w14:paraId="712A2AC2" w14:textId="77777777" w:rsidR="0023263A" w:rsidRDefault="0023263A" w:rsidP="0023263A">
      <w:pPr>
        <w:spacing w:after="120"/>
        <w:jc w:val="both"/>
      </w:pPr>
      <w:r>
        <w:rPr>
          <w:b/>
          <w:color w:val="072357"/>
          <w:sz w:val="20"/>
        </w:rPr>
        <w:t>Insuficiente · 0–3.</w:t>
      </w:r>
      <w:r>
        <w:rPr>
          <w:color w:val="072357"/>
          <w:sz w:val="20"/>
        </w:rPr>
        <w:t xml:space="preserve"> La empresa firma los compromisos mínimos y no añade nada. Los campos abiertos quedan en blanco o se responden con generalidades.</w:t>
      </w:r>
    </w:p>
    <w:p w14:paraId="79B73D00" w14:textId="77777777" w:rsidR="0023263A" w:rsidRDefault="0023263A" w:rsidP="0023263A">
      <w:pPr>
        <w:spacing w:after="120"/>
        <w:jc w:val="both"/>
      </w:pPr>
      <w:r>
        <w:rPr>
          <w:b/>
          <w:color w:val="072357"/>
          <w:sz w:val="20"/>
        </w:rPr>
        <w:t>Básico · 4–7.</w:t>
      </w:r>
      <w:r>
        <w:rPr>
          <w:color w:val="072357"/>
          <w:sz w:val="20"/>
        </w:rPr>
        <w:t xml:space="preserve"> Se declara la dedicación del equipo y una intención de contratar al pasante, sin función ni unidad previstas. No hay aportes por encima del mínimo exigido. La disponibilidad para el bloque presencial se declara con reservas.</w:t>
      </w:r>
    </w:p>
    <w:p w14:paraId="05AC11D4" w14:textId="77777777" w:rsidR="0023263A" w:rsidRDefault="0023263A" w:rsidP="0023263A">
      <w:pPr>
        <w:spacing w:after="120"/>
        <w:jc w:val="both"/>
      </w:pPr>
      <w:r>
        <w:rPr>
          <w:b/>
          <w:color w:val="072357"/>
          <w:sz w:val="20"/>
        </w:rPr>
        <w:t>Sólido · 8–12.</w:t>
      </w:r>
      <w:r>
        <w:rPr>
          <w:color w:val="072357"/>
          <w:sz w:val="20"/>
        </w:rPr>
        <w:t xml:space="preserve"> Dedicación nominal por persona y por actividad. Plan de incorporación del pasante con función y unidad identificadas. Al menos un aporte por encima del mínimo: banco de pruebas, instrumentación, tiempo de producción o dinero. Disponibilidad plena y sin condiciones para las tres semanas del bloque presencial.</w:t>
      </w:r>
    </w:p>
    <w:p w14:paraId="3534A9FD" w14:textId="77777777" w:rsidR="0023263A" w:rsidRDefault="0023263A" w:rsidP="0023263A">
      <w:pPr>
        <w:spacing w:after="120"/>
        <w:jc w:val="both"/>
      </w:pPr>
      <w:r>
        <w:rPr>
          <w:b/>
          <w:color w:val="072357"/>
          <w:sz w:val="20"/>
        </w:rPr>
        <w:t>Sobresaliente · 13–15.</w:t>
      </w:r>
      <w:r>
        <w:rPr>
          <w:color w:val="072357"/>
          <w:sz w:val="20"/>
        </w:rPr>
        <w:t xml:space="preserve"> Todo lo anterior, y los compromisos están respaldados por decisiones ya tomadas dentro de la empresa: una plaza presupuestada, un espacio asignado, un aporte económico por encima de los USD 5,000. El gerente general aparece comprometido personalmente, no solo como firmante.</w:t>
      </w:r>
    </w:p>
    <w:p w14:paraId="406A1CB0" w14:textId="77777777" w:rsidR="0023263A" w:rsidRDefault="0023263A" w:rsidP="0023263A">
      <w:pPr>
        <w:pBdr>
          <w:left w:val="single" w:sz="12" w:space="10" w:color="072357"/>
        </w:pBdr>
        <w:spacing w:before="80" w:after="160"/>
        <w:ind w:left="173"/>
        <w:jc w:val="both"/>
      </w:pPr>
      <w:r>
        <w:rPr>
          <w:b/>
          <w:color w:val="072357"/>
          <w:sz w:val="19"/>
        </w:rPr>
        <w:t>Nota de aplicación.</w:t>
      </w:r>
      <w:r>
        <w:rPr>
          <w:color w:val="072357"/>
          <w:sz w:val="19"/>
        </w:rPr>
        <w:t xml:space="preserve"> Este criterio mide concreción, no entusiasmo. Una empresa que declara con precisión un compromiso modesto puntúa por encima de otra que promete de forma indeterminada. Se evalúa la concreción del compromiso, con independencia de que esté ya formalizado ante el C-TASC AIP.</w:t>
      </w:r>
    </w:p>
    <w:p w14:paraId="41DB543E" w14:textId="77777777" w:rsidR="0023263A" w:rsidRDefault="0023263A" w:rsidP="0023263A">
      <w:pPr>
        <w:pStyle w:val="Ttulo2"/>
        <w:spacing w:before="280" w:after="100"/>
      </w:pPr>
      <w:r>
        <w:rPr>
          <w:rFonts w:ascii="Arial" w:hAnsi="Arial"/>
          <w:b/>
          <w:color w:val="072357"/>
          <w:sz w:val="22"/>
        </w:rPr>
        <w:t>Criterio 6 · Motivación y lectura de mercado (video) — 5 puntos</w:t>
      </w:r>
    </w:p>
    <w:p w14:paraId="163BB33B" w14:textId="77777777" w:rsidR="0023263A" w:rsidRDefault="0023263A" w:rsidP="0023263A">
      <w:pPr>
        <w:spacing w:after="20"/>
        <w:jc w:val="both"/>
      </w:pPr>
      <w:r>
        <w:rPr>
          <w:b/>
          <w:color w:val="5C6779"/>
          <w:sz w:val="19"/>
        </w:rPr>
        <w:t>Se lee en:</w:t>
      </w:r>
      <w:r>
        <w:rPr>
          <w:color w:val="5C6779"/>
          <w:sz w:val="19"/>
        </w:rPr>
        <w:t xml:space="preserve"> el video de tres minutos.</w:t>
      </w:r>
    </w:p>
    <w:p w14:paraId="0B5796B5" w14:textId="77777777" w:rsidR="0023263A" w:rsidRDefault="0023263A" w:rsidP="0023263A">
      <w:pPr>
        <w:spacing w:after="120"/>
        <w:jc w:val="both"/>
      </w:pPr>
      <w:r>
        <w:rPr>
          <w:b/>
          <w:color w:val="5C6779"/>
          <w:sz w:val="19"/>
        </w:rPr>
        <w:t>Puntúan:</w:t>
      </w:r>
      <w:r>
        <w:rPr>
          <w:color w:val="5C6779"/>
          <w:sz w:val="19"/>
        </w:rPr>
        <w:t xml:space="preserve"> los miembros del Comité Evaluador Empresarial.</w:t>
      </w:r>
    </w:p>
    <w:p w14:paraId="3A3D610A" w14:textId="77777777" w:rsidR="0023263A" w:rsidRDefault="0023263A" w:rsidP="0023263A">
      <w:pPr>
        <w:spacing w:after="120"/>
        <w:jc w:val="both"/>
      </w:pPr>
      <w:r>
        <w:rPr>
          <w:b/>
          <w:color w:val="072357"/>
          <w:sz w:val="20"/>
        </w:rPr>
        <w:t>Insuficiente · 0–1.</w:t>
      </w:r>
      <w:r>
        <w:rPr>
          <w:color w:val="072357"/>
          <w:sz w:val="20"/>
        </w:rPr>
        <w:t xml:space="preserve"> El video no responde a ninguna de las dos preguntas, o incumple el formato: falta el gerente general o el Ingeniero Líder, excede los tres minutos, o el enlace no abre.</w:t>
      </w:r>
    </w:p>
    <w:p w14:paraId="5FC09AD1" w14:textId="77777777" w:rsidR="0023263A" w:rsidRDefault="0023263A" w:rsidP="0023263A">
      <w:pPr>
        <w:spacing w:after="120"/>
        <w:jc w:val="both"/>
      </w:pPr>
      <w:r>
        <w:rPr>
          <w:b/>
          <w:color w:val="072357"/>
          <w:sz w:val="20"/>
        </w:rPr>
        <w:t>Básico · 2.</w:t>
      </w:r>
      <w:r>
        <w:rPr>
          <w:color w:val="072357"/>
          <w:sz w:val="20"/>
        </w:rPr>
        <w:t xml:space="preserve"> Responde a las dos preguntas de forma genérica: la empresa quiere aprender y el mercado es grande.</w:t>
      </w:r>
    </w:p>
    <w:p w14:paraId="7B002A20" w14:textId="77777777" w:rsidR="0023263A" w:rsidRDefault="0023263A" w:rsidP="0023263A">
      <w:pPr>
        <w:spacing w:after="120"/>
        <w:jc w:val="both"/>
      </w:pPr>
      <w:r>
        <w:rPr>
          <w:b/>
          <w:color w:val="072357"/>
          <w:sz w:val="20"/>
        </w:rPr>
        <w:t>Sólido · 3–4.</w:t>
      </w:r>
      <w:r>
        <w:rPr>
          <w:color w:val="072357"/>
          <w:sz w:val="20"/>
        </w:rPr>
        <w:t xml:space="preserve"> La empresa explica por qué quiere entrar en términos propios, ligados a un problema real de su negocio, y describe el mercado con conocimiento de primera mano.</w:t>
      </w:r>
    </w:p>
    <w:p w14:paraId="505D0489" w14:textId="77777777" w:rsidR="0023263A" w:rsidRDefault="0023263A" w:rsidP="0023263A">
      <w:pPr>
        <w:spacing w:after="120"/>
        <w:jc w:val="both"/>
      </w:pPr>
      <w:r>
        <w:rPr>
          <w:b/>
          <w:color w:val="072357"/>
          <w:sz w:val="20"/>
        </w:rPr>
        <w:t>Sobresaliente · 5.</w:t>
      </w:r>
      <w:r>
        <w:rPr>
          <w:color w:val="072357"/>
          <w:sz w:val="20"/>
        </w:rPr>
        <w:t xml:space="preserve"> Todo lo anterior, y las dos voces son consistentes entre sí: el gerente general y el Ingeniero Líder describen el mismo proyecto y la misma apuesta.</w:t>
      </w:r>
    </w:p>
    <w:p w14:paraId="1B83DFCD" w14:textId="77777777" w:rsidR="0023263A" w:rsidRDefault="0023263A" w:rsidP="0023263A">
      <w:pPr>
        <w:pBdr>
          <w:left w:val="single" w:sz="12" w:space="10" w:color="072357"/>
        </w:pBdr>
        <w:spacing w:before="80" w:after="160"/>
        <w:ind w:left="173"/>
        <w:jc w:val="both"/>
      </w:pPr>
      <w:r>
        <w:rPr>
          <w:b/>
          <w:color w:val="072357"/>
          <w:sz w:val="19"/>
        </w:rPr>
        <w:t>Nota de aplicación.</w:t>
      </w:r>
      <w:r>
        <w:rPr>
          <w:color w:val="072357"/>
          <w:sz w:val="19"/>
        </w:rPr>
        <w:t xml:space="preserve"> La calidad de producción no se evalúa y no otorga puntos. Un video grabado con un teléfono, sin edición ni montaje, puede alcanzar el nivel sobresaliente.</w:t>
      </w:r>
    </w:p>
    <w:p w14:paraId="2D2D81C2" w14:textId="77777777" w:rsidR="0023263A" w:rsidRDefault="0023263A" w:rsidP="0023263A">
      <w:pPr>
        <w:pStyle w:val="Ttulo1"/>
        <w:pBdr>
          <w:bottom w:val="single" w:sz="6" w:space="6" w:color="072357"/>
        </w:pBdr>
        <w:spacing w:before="340" w:after="140"/>
      </w:pPr>
      <w:r>
        <w:rPr>
          <w:rFonts w:ascii="Arial" w:hAnsi="Arial"/>
          <w:b/>
          <w:color w:val="072357"/>
          <w:sz w:val="25"/>
        </w:rPr>
        <w:lastRenderedPageBreak/>
        <w:t>6. Bonificaciones</w:t>
      </w:r>
    </w:p>
    <w:p w14:paraId="45D7B17D" w14:textId="77777777" w:rsidR="0023263A" w:rsidRDefault="0023263A" w:rsidP="0023263A">
      <w:pPr>
        <w:spacing w:after="120"/>
        <w:jc w:val="both"/>
      </w:pPr>
      <w:r>
        <w:rPr>
          <w:color w:val="1A1A1A"/>
          <w:sz w:val="20"/>
        </w:rPr>
        <w:t>Se otorgan por verificación documental, no por juicio. Cada una se concede íntegra o no se concede: no hay fracciones.</w:t>
      </w:r>
    </w:p>
    <w:tbl>
      <w:tblPr>
        <w:tblW w:w="0" w:type="auto"/>
        <w:jc w:val="center"/>
        <w:tblBorders>
          <w:top w:val="single" w:sz="4" w:space="0" w:color="C8D0DC"/>
          <w:left w:val="single" w:sz="4" w:space="0" w:color="C8D0DC"/>
          <w:bottom w:val="single" w:sz="4" w:space="0" w:color="C8D0DC"/>
          <w:right w:val="single" w:sz="4" w:space="0" w:color="C8D0DC"/>
          <w:insideH w:val="single" w:sz="4" w:space="0" w:color="C8D0DC"/>
          <w:insideV w:val="single" w:sz="4" w:space="0" w:color="C8D0DC"/>
        </w:tblBorders>
        <w:tblLook w:val="04A0" w:firstRow="1" w:lastRow="0" w:firstColumn="1" w:lastColumn="0" w:noHBand="0" w:noVBand="1"/>
      </w:tblPr>
      <w:tblGrid>
        <w:gridCol w:w="3214"/>
        <w:gridCol w:w="3210"/>
        <w:gridCol w:w="3214"/>
      </w:tblGrid>
      <w:tr w:rsidR="0023263A" w14:paraId="2656995C" w14:textId="77777777" w:rsidTr="003B0FC0">
        <w:trPr>
          <w:jc w:val="center"/>
        </w:trPr>
        <w:tc>
          <w:tcPr>
            <w:tcW w:w="3229" w:type="dxa"/>
            <w:shd w:val="clear" w:color="auto" w:fill="072357"/>
          </w:tcPr>
          <w:p w14:paraId="7EC0E338" w14:textId="77777777" w:rsidR="0023263A" w:rsidRDefault="0023263A" w:rsidP="003B0FC0">
            <w:pPr>
              <w:spacing w:after="40"/>
            </w:pPr>
            <w:r>
              <w:rPr>
                <w:b/>
                <w:color w:val="FFFFFF"/>
                <w:sz w:val="17"/>
              </w:rPr>
              <w:t>Bonificación</w:t>
            </w:r>
          </w:p>
        </w:tc>
        <w:tc>
          <w:tcPr>
            <w:tcW w:w="3229" w:type="dxa"/>
            <w:shd w:val="clear" w:color="auto" w:fill="072357"/>
          </w:tcPr>
          <w:p w14:paraId="48D9E13E" w14:textId="77777777" w:rsidR="0023263A" w:rsidRDefault="0023263A" w:rsidP="003B0FC0">
            <w:pPr>
              <w:spacing w:after="40"/>
            </w:pPr>
            <w:r>
              <w:rPr>
                <w:b/>
                <w:color w:val="FFFFFF"/>
                <w:sz w:val="17"/>
              </w:rPr>
              <w:t>Puntos</w:t>
            </w:r>
          </w:p>
        </w:tc>
        <w:tc>
          <w:tcPr>
            <w:tcW w:w="3229" w:type="dxa"/>
            <w:shd w:val="clear" w:color="auto" w:fill="072357"/>
          </w:tcPr>
          <w:p w14:paraId="69A2D1C6" w14:textId="77777777" w:rsidR="0023263A" w:rsidRDefault="0023263A" w:rsidP="003B0FC0">
            <w:pPr>
              <w:spacing w:after="40"/>
            </w:pPr>
            <w:r>
              <w:rPr>
                <w:b/>
                <w:color w:val="FFFFFF"/>
                <w:sz w:val="17"/>
              </w:rPr>
              <w:t>Cómo se verifica</w:t>
            </w:r>
          </w:p>
        </w:tc>
      </w:tr>
      <w:tr w:rsidR="0023263A" w14:paraId="3DC68790" w14:textId="77777777" w:rsidTr="003B0FC0">
        <w:trPr>
          <w:jc w:val="center"/>
        </w:trPr>
        <w:tc>
          <w:tcPr>
            <w:tcW w:w="3229" w:type="dxa"/>
          </w:tcPr>
          <w:p w14:paraId="63461EA2" w14:textId="77777777" w:rsidR="0023263A" w:rsidRDefault="0023263A" w:rsidP="003B0FC0">
            <w:pPr>
              <w:spacing w:after="40"/>
            </w:pPr>
            <w:r>
              <w:rPr>
                <w:b/>
                <w:color w:val="1A1A1A"/>
                <w:sz w:val="18"/>
              </w:rPr>
              <w:t>Postulación sin cláusula de exclusividad</w:t>
            </w:r>
            <w:r>
              <w:rPr>
                <w:color w:val="1A1A1A"/>
                <w:sz w:val="18"/>
              </w:rPr>
              <w:t xml:space="preserve"> a favor de una empresa tractora</w:t>
            </w:r>
          </w:p>
        </w:tc>
        <w:tc>
          <w:tcPr>
            <w:tcW w:w="3229" w:type="dxa"/>
          </w:tcPr>
          <w:p w14:paraId="1412203E" w14:textId="77777777" w:rsidR="0023263A" w:rsidRDefault="0023263A" w:rsidP="003B0FC0">
            <w:pPr>
              <w:spacing w:after="40"/>
            </w:pPr>
            <w:r>
              <w:rPr>
                <w:color w:val="1A1A1A"/>
                <w:sz w:val="18"/>
              </w:rPr>
              <w:t>+4</w:t>
            </w:r>
          </w:p>
        </w:tc>
        <w:tc>
          <w:tcPr>
            <w:tcW w:w="3229" w:type="dxa"/>
          </w:tcPr>
          <w:p w14:paraId="166BB9E0" w14:textId="77777777" w:rsidR="0023263A" w:rsidRDefault="0023263A" w:rsidP="003B0FC0">
            <w:pPr>
              <w:spacing w:after="40"/>
            </w:pPr>
            <w:r>
              <w:rPr>
                <w:color w:val="1A1A1A"/>
                <w:sz w:val="18"/>
              </w:rPr>
              <w:t>La ficha no incorpora cláusula de exclusividad. Se otorga también a las postulaciones que no incorporan empresa tractora, porque tampoco conceden exclusividad</w:t>
            </w:r>
          </w:p>
        </w:tc>
      </w:tr>
      <w:tr w:rsidR="0023263A" w14:paraId="3F9E7433" w14:textId="77777777" w:rsidTr="003B0FC0">
        <w:trPr>
          <w:jc w:val="center"/>
        </w:trPr>
        <w:tc>
          <w:tcPr>
            <w:tcW w:w="3229" w:type="dxa"/>
            <w:shd w:val="clear" w:color="auto" w:fill="F5F7FA"/>
          </w:tcPr>
          <w:p w14:paraId="044B7A34" w14:textId="77777777" w:rsidR="0023263A" w:rsidRDefault="0023263A" w:rsidP="003B0FC0">
            <w:pPr>
              <w:spacing w:after="40"/>
            </w:pPr>
            <w:r>
              <w:rPr>
                <w:b/>
                <w:color w:val="1A1A1A"/>
                <w:sz w:val="18"/>
              </w:rPr>
              <w:t>Equipo de diseño radicado en Panamá</w:t>
            </w:r>
          </w:p>
        </w:tc>
        <w:tc>
          <w:tcPr>
            <w:tcW w:w="3229" w:type="dxa"/>
            <w:shd w:val="clear" w:color="auto" w:fill="F5F7FA"/>
          </w:tcPr>
          <w:p w14:paraId="5E9BDD07" w14:textId="77777777" w:rsidR="0023263A" w:rsidRDefault="0023263A" w:rsidP="003B0FC0">
            <w:pPr>
              <w:spacing w:after="40"/>
            </w:pPr>
            <w:r>
              <w:rPr>
                <w:color w:val="1A1A1A"/>
                <w:sz w:val="18"/>
              </w:rPr>
              <w:t>+3</w:t>
            </w:r>
          </w:p>
        </w:tc>
        <w:tc>
          <w:tcPr>
            <w:tcW w:w="3229" w:type="dxa"/>
            <w:shd w:val="clear" w:color="auto" w:fill="F5F7FA"/>
          </w:tcPr>
          <w:p w14:paraId="1C7B41F7" w14:textId="77777777" w:rsidR="0023263A" w:rsidRDefault="0023263A" w:rsidP="003B0FC0">
            <w:pPr>
              <w:spacing w:after="40"/>
            </w:pPr>
            <w:r>
              <w:rPr>
                <w:color w:val="1A1A1A"/>
                <w:sz w:val="18"/>
              </w:rPr>
              <w:t>Las personas del equipo técnico nombradas en la sección B.4 de la ficha, distintas del Ingeniero Líder, residen y trabajan en Panamá. La residencia del Ingeniero Líder no se exige y no se considera a estos efectos</w:t>
            </w:r>
          </w:p>
        </w:tc>
      </w:tr>
    </w:tbl>
    <w:p w14:paraId="794D6ACC" w14:textId="77777777" w:rsidR="0023263A" w:rsidRDefault="0023263A" w:rsidP="0023263A">
      <w:pPr>
        <w:pStyle w:val="Ttulo1"/>
        <w:pBdr>
          <w:bottom w:val="single" w:sz="6" w:space="6" w:color="072357"/>
        </w:pBdr>
        <w:spacing w:before="340" w:after="140"/>
      </w:pPr>
      <w:r>
        <w:rPr>
          <w:rFonts w:ascii="Arial" w:hAnsi="Arial"/>
          <w:b/>
          <w:color w:val="072357"/>
          <w:sz w:val="25"/>
        </w:rPr>
        <w:t>7. Orden de mérito</w:t>
      </w:r>
    </w:p>
    <w:p w14:paraId="2A070F38" w14:textId="77777777" w:rsidR="0023263A" w:rsidRDefault="0023263A" w:rsidP="0023263A">
      <w:pPr>
        <w:spacing w:after="120"/>
        <w:jc w:val="both"/>
      </w:pPr>
      <w:r>
        <w:rPr>
          <w:b/>
          <w:color w:val="1A1A1A"/>
          <w:sz w:val="20"/>
        </w:rPr>
        <w:t>Puntaje total = seis criterios (máximo 100) + bonificaciones (máximo 7) = máximo 107.</w:t>
      </w:r>
      <w:r>
        <w:rPr>
          <w:color w:val="1A1A1A"/>
          <w:sz w:val="20"/>
        </w:rPr>
        <w:t xml:space="preserve"> No existe tope en 100: una postulación puede superar los cien puntos, y esa es precisamente la manera en que las bonificaciones conservan su efecto entre las propuestas más fuertes.</w:t>
      </w:r>
    </w:p>
    <w:p w14:paraId="6BDF9B9A" w14:textId="77777777" w:rsidR="0023263A" w:rsidRDefault="0023263A" w:rsidP="0023263A">
      <w:pPr>
        <w:spacing w:after="120"/>
        <w:jc w:val="both"/>
      </w:pPr>
      <w:r>
        <w:rPr>
          <w:color w:val="1A1A1A"/>
          <w:sz w:val="20"/>
        </w:rPr>
        <w:t>El orden de mérito ordena de mayor a menor todas las postulaciones admitidas que no hayan quedado excluidas por el veredicto de factibilidad.</w:t>
      </w:r>
    </w:p>
    <w:p w14:paraId="7C614EFD" w14:textId="77777777" w:rsidR="0023263A" w:rsidRDefault="0023263A" w:rsidP="0023263A">
      <w:pPr>
        <w:spacing w:after="120"/>
        <w:jc w:val="both"/>
      </w:pPr>
      <w:r>
        <w:rPr>
          <w:color w:val="1A1A1A"/>
          <w:sz w:val="20"/>
        </w:rPr>
        <w:t xml:space="preserve">El Comité produce además una </w:t>
      </w:r>
      <w:r>
        <w:rPr>
          <w:b/>
          <w:color w:val="1A1A1A"/>
          <w:sz w:val="20"/>
        </w:rPr>
        <w:t>recomendación explícita de corte</w:t>
      </w:r>
      <w:r>
        <w:rPr>
          <w:color w:val="1A1A1A"/>
          <w:sz w:val="20"/>
        </w:rPr>
        <w:t>: hasta qué posición del orden recomienda efectivamente asignar recursos. Es una salida distinta del orden de mérito y no coincide necesariamente con el número de plazas disponibles.</w:t>
      </w:r>
    </w:p>
    <w:p w14:paraId="3C203D6A" w14:textId="77777777" w:rsidR="0023263A" w:rsidRDefault="0023263A" w:rsidP="0023263A">
      <w:pPr>
        <w:pStyle w:val="Ttulo1"/>
        <w:pBdr>
          <w:bottom w:val="single" w:sz="6" w:space="6" w:color="072357"/>
        </w:pBdr>
        <w:spacing w:before="340" w:after="140"/>
      </w:pPr>
      <w:r>
        <w:rPr>
          <w:rFonts w:ascii="Arial" w:hAnsi="Arial"/>
          <w:b/>
          <w:color w:val="072357"/>
          <w:sz w:val="25"/>
        </w:rPr>
        <w:t>8. Qué no se evalúa</w:t>
      </w:r>
    </w:p>
    <w:p w14:paraId="3BE0EEF0" w14:textId="77777777" w:rsidR="0023263A" w:rsidRDefault="0023263A" w:rsidP="0023263A">
      <w:pPr>
        <w:spacing w:after="20"/>
        <w:jc w:val="both"/>
      </w:pPr>
      <w:r>
        <w:rPr>
          <w:color w:val="1A1A1A"/>
        </w:rPr>
        <w:t>- La calidad de producción del video.</w:t>
      </w:r>
    </w:p>
    <w:p w14:paraId="3F3B4873" w14:textId="77777777" w:rsidR="0023263A" w:rsidRDefault="0023263A" w:rsidP="0023263A">
      <w:pPr>
        <w:spacing w:after="20"/>
        <w:jc w:val="both"/>
      </w:pPr>
      <w:r>
        <w:rPr>
          <w:color w:val="1A1A1A"/>
        </w:rPr>
        <w:t>- La ambición del proyecto por encima de su realismo.</w:t>
      </w:r>
    </w:p>
    <w:p w14:paraId="605746C2" w14:textId="77777777" w:rsidR="0023263A" w:rsidRDefault="0023263A" w:rsidP="0023263A">
      <w:pPr>
        <w:spacing w:after="20"/>
        <w:jc w:val="both"/>
      </w:pPr>
      <w:r>
        <w:rPr>
          <w:color w:val="1A1A1A"/>
        </w:rPr>
        <w:t>- El tamaño, la facturación o la antigüedad de la empresa más allá del mínimo exigido.</w:t>
      </w:r>
    </w:p>
    <w:p w14:paraId="0F42584C" w14:textId="77777777" w:rsidR="0023263A" w:rsidRDefault="0023263A" w:rsidP="0023263A">
      <w:pPr>
        <w:spacing w:after="20"/>
        <w:jc w:val="both"/>
      </w:pPr>
      <w:r>
        <w:rPr>
          <w:color w:val="1A1A1A"/>
        </w:rPr>
        <w:t>- La pertenencia a incubadora, centro de innovación, parque tecnológico o gremio.</w:t>
      </w:r>
    </w:p>
    <w:p w14:paraId="7F420A96" w14:textId="77777777" w:rsidR="0023263A" w:rsidRDefault="0023263A" w:rsidP="0023263A">
      <w:pPr>
        <w:spacing w:after="20"/>
        <w:jc w:val="both"/>
      </w:pPr>
      <w:r>
        <w:rPr>
          <w:color w:val="1A1A1A"/>
        </w:rPr>
        <w:t>- La condición de becaria de la SENACYT.</w:t>
      </w:r>
    </w:p>
    <w:p w14:paraId="239D186D" w14:textId="77777777" w:rsidR="0023263A" w:rsidRDefault="0023263A" w:rsidP="0023263A">
      <w:pPr>
        <w:spacing w:after="120"/>
        <w:jc w:val="both"/>
      </w:pPr>
      <w:r>
        <w:rPr>
          <w:color w:val="1A1A1A"/>
        </w:rPr>
        <w:t>- La solución técnica que constituye la ventaja competitiva de la empresa, que la convocatoria expresamente no pide.</w:t>
      </w:r>
    </w:p>
    <w:p w14:paraId="5CBED1DB" w14:textId="77777777" w:rsidR="0023263A" w:rsidRDefault="0023263A" w:rsidP="0023263A">
      <w:pPr>
        <w:pStyle w:val="Ttulo1"/>
        <w:pBdr>
          <w:bottom w:val="single" w:sz="6" w:space="6" w:color="072357"/>
        </w:pBdr>
        <w:spacing w:before="340" w:after="140"/>
      </w:pPr>
      <w:r>
        <w:rPr>
          <w:rFonts w:ascii="Arial" w:hAnsi="Arial"/>
          <w:b/>
          <w:color w:val="072357"/>
          <w:sz w:val="25"/>
        </w:rPr>
        <w:t>9. Confidencialidad y conflicto de interés</w:t>
      </w:r>
    </w:p>
    <w:p w14:paraId="1F85AA9C" w14:textId="77777777" w:rsidR="0023263A" w:rsidRDefault="0023263A" w:rsidP="0023263A">
      <w:pPr>
        <w:spacing w:after="120"/>
        <w:jc w:val="both"/>
      </w:pPr>
      <w:r>
        <w:rPr>
          <w:color w:val="1A1A1A"/>
          <w:sz w:val="20"/>
        </w:rPr>
        <w:t xml:space="preserve">Todo evaluador firma, </w:t>
      </w:r>
      <w:r>
        <w:rPr>
          <w:b/>
          <w:color w:val="1A1A1A"/>
          <w:sz w:val="20"/>
        </w:rPr>
        <w:t>antes</w:t>
      </w:r>
      <w:r>
        <w:rPr>
          <w:color w:val="1A1A1A"/>
          <w:sz w:val="20"/>
        </w:rPr>
        <w:t xml:space="preserve"> de acceder a las postulaciones, un acuerdo de confidencialidad y una declaración escrita de conflicto de interés. El evaluador que declare vinculación con una postulante se recusa respecto de esa postulación, y su abstención queda registrada en el acta.</w:t>
      </w:r>
    </w:p>
    <w:p w14:paraId="162D0665" w14:textId="2C0E2575" w:rsidR="0023263A" w:rsidRPr="00B72C48" w:rsidRDefault="0023263A" w:rsidP="0023263A">
      <w:pPr>
        <w:spacing w:after="120"/>
        <w:jc w:val="both"/>
        <w:rPr>
          <w:color w:val="1A1A1A"/>
          <w:sz w:val="20"/>
        </w:rPr>
      </w:pPr>
      <w:r>
        <w:rPr>
          <w:color w:val="1A1A1A"/>
          <w:sz w:val="20"/>
        </w:rPr>
        <w:t>Las postulaciones no adjudicadas se conservan por un año y luego se destruyen.</w:t>
      </w:r>
    </w:p>
    <w:sectPr w:rsidR="0023263A" w:rsidRPr="00B72C48" w:rsidSect="00EE1B06">
      <w:headerReference w:type="default" r:id="rId10"/>
      <w:footerReference w:type="default" r:id="rId11"/>
      <w:pgSz w:w="12240" w:h="15840"/>
      <w:pgMar w:top="1368" w:right="1296" w:bottom="1224" w:left="1296" w:header="50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8E692" w14:textId="77777777" w:rsidR="00A66E61" w:rsidRPr="004C6ACC" w:rsidRDefault="00A66E61" w:rsidP="00797EBC">
      <w:r w:rsidRPr="004C6ACC">
        <w:separator/>
      </w:r>
    </w:p>
  </w:endnote>
  <w:endnote w:type="continuationSeparator" w:id="0">
    <w:p w14:paraId="32DBB272" w14:textId="77777777" w:rsidR="00A66E61" w:rsidRPr="004C6ACC" w:rsidRDefault="00A66E61" w:rsidP="00797EBC">
      <w:r w:rsidRPr="004C6A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209AB" w14:textId="01D41EFC" w:rsidR="00E1353D" w:rsidRPr="004C6ACC" w:rsidRDefault="00EE1B06" w:rsidP="00572F3E">
    <w:pPr>
      <w:jc w:val="right"/>
      <w:rPr>
        <w:rFonts w:asciiTheme="minorHAnsi" w:hAnsiTheme="minorHAnsi"/>
        <w:i/>
        <w:iCs/>
        <w:sz w:val="18"/>
        <w:szCs w:val="18"/>
      </w:rPr>
    </w:pPr>
    <w:r w:rsidRPr="004C6ACC">
      <w:rPr>
        <w:rFonts w:asciiTheme="minorHAnsi" w:hAnsiTheme="minorHAnsi"/>
        <w:noProof/>
        <w:sz w:val="18"/>
        <w:szCs w:val="18"/>
      </w:rPr>
      <mc:AlternateContent>
        <mc:Choice Requires="wps">
          <w:drawing>
            <wp:anchor distT="0" distB="0" distL="114300" distR="114300" simplePos="0" relativeHeight="251659264" behindDoc="0" locked="0" layoutInCell="1" allowOverlap="1" wp14:anchorId="65E4EF66" wp14:editId="2D83EBB1">
              <wp:simplePos x="0" y="0"/>
              <wp:positionH relativeFrom="margin">
                <wp:align>center</wp:align>
              </wp:positionH>
              <wp:positionV relativeFrom="paragraph">
                <wp:posOffset>208915</wp:posOffset>
              </wp:positionV>
              <wp:extent cx="6997147" cy="7952"/>
              <wp:effectExtent l="0" t="0" r="32385" b="30480"/>
              <wp:wrapNone/>
              <wp:docPr id="432849030" name="Straight Connector 1"/>
              <wp:cNvGraphicFramePr/>
              <a:graphic xmlns:a="http://schemas.openxmlformats.org/drawingml/2006/main">
                <a:graphicData uri="http://schemas.microsoft.com/office/word/2010/wordprocessingShape">
                  <wps:wsp>
                    <wps:cNvCnPr/>
                    <wps:spPr>
                      <a:xfrm flipV="1">
                        <a:off x="0" y="0"/>
                        <a:ext cx="6997147" cy="7952"/>
                      </a:xfrm>
                      <a:prstGeom prst="line">
                        <a:avLst/>
                      </a:prstGeom>
                      <a:ln w="6350">
                        <a:solidFill>
                          <a:srgbClr val="43537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CE5F8A" id="Straight Connector 1" o:spid="_x0000_s1026" style="position:absolute;flip:y;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6.45pt" to="550.9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" strokecolor="#435370" strokeweight=".5pt">
              <v:stroke joinstyle="miter"/>
              <w10:wrap anchorx="margin"/>
            </v:line>
          </w:pict>
        </mc:Fallback>
      </mc:AlternateContent>
    </w:r>
    <w:r w:rsidR="00572F3E" w:rsidRPr="004C6ACC">
      <w:rPr>
        <w:rFonts w:asciiTheme="minorHAnsi" w:hAnsiTheme="minorHAnsi"/>
        <w:i/>
        <w:iCs/>
        <w:sz w:val="18"/>
        <w:szCs w:val="18"/>
      </w:rPr>
      <w:t>P</w:t>
    </w:r>
    <w:r w:rsidR="005947FD">
      <w:rPr>
        <w:rFonts w:asciiTheme="minorHAnsi" w:hAnsiTheme="minorHAnsi"/>
        <w:i/>
        <w:iCs/>
        <w:sz w:val="18"/>
        <w:szCs w:val="18"/>
      </w:rPr>
      <w:t>á</w:t>
    </w:r>
    <w:r w:rsidR="00572F3E" w:rsidRPr="004C6ACC">
      <w:rPr>
        <w:rFonts w:asciiTheme="minorHAnsi" w:hAnsiTheme="minorHAnsi"/>
        <w:i/>
        <w:iCs/>
        <w:sz w:val="18"/>
        <w:szCs w:val="18"/>
      </w:rPr>
      <w:t xml:space="preserve">gina </w:t>
    </w:r>
    <w:r w:rsidR="00723FCF" w:rsidRPr="004C6ACC">
      <w:rPr>
        <w:rFonts w:asciiTheme="minorHAnsi" w:hAnsiTheme="minorHAnsi"/>
        <w:i/>
        <w:iCs/>
        <w:sz w:val="18"/>
        <w:szCs w:val="18"/>
      </w:rPr>
      <w:fldChar w:fldCharType="begin"/>
    </w:r>
    <w:r w:rsidR="00723FCF" w:rsidRPr="004C6ACC">
      <w:rPr>
        <w:rFonts w:asciiTheme="minorHAnsi" w:hAnsiTheme="minorHAnsi"/>
        <w:i/>
        <w:iCs/>
        <w:sz w:val="18"/>
        <w:szCs w:val="18"/>
      </w:rPr>
      <w:instrText xml:space="preserve"> PAGE   \* MERGEFORMAT </w:instrText>
    </w:r>
    <w:r w:rsidR="00723FCF" w:rsidRPr="004C6ACC">
      <w:rPr>
        <w:rFonts w:asciiTheme="minorHAnsi" w:hAnsiTheme="minorHAnsi"/>
        <w:i/>
        <w:iCs/>
        <w:sz w:val="18"/>
        <w:szCs w:val="18"/>
      </w:rPr>
      <w:fldChar w:fldCharType="separate"/>
    </w:r>
    <w:r w:rsidR="00723FCF" w:rsidRPr="004C6ACC">
      <w:rPr>
        <w:rFonts w:asciiTheme="minorHAnsi" w:hAnsiTheme="minorHAnsi"/>
        <w:i/>
        <w:iCs/>
        <w:sz w:val="18"/>
        <w:szCs w:val="18"/>
      </w:rPr>
      <w:t>2</w:t>
    </w:r>
    <w:r w:rsidR="00723FCF" w:rsidRPr="004C6ACC">
      <w:rPr>
        <w:rFonts w:asciiTheme="minorHAnsi" w:hAnsiTheme="minorHAnsi"/>
        <w:i/>
        <w:iCs/>
        <w:sz w:val="18"/>
        <w:szCs w:val="18"/>
      </w:rPr>
      <w:fldChar w:fldCharType="end"/>
    </w:r>
    <w:r w:rsidR="00723FCF" w:rsidRPr="004C6ACC">
      <w:rPr>
        <w:rFonts w:asciiTheme="minorHAnsi" w:hAnsiTheme="minorHAnsi"/>
        <w:i/>
        <w:iCs/>
        <w:sz w:val="18"/>
        <w:szCs w:val="18"/>
      </w:rPr>
      <w:t xml:space="preserve"> / </w:t>
    </w:r>
    <w:r w:rsidR="00723FCF" w:rsidRPr="004C6ACC">
      <w:rPr>
        <w:rFonts w:asciiTheme="minorHAnsi" w:hAnsiTheme="minorHAnsi"/>
        <w:i/>
        <w:iCs/>
        <w:sz w:val="18"/>
        <w:szCs w:val="18"/>
      </w:rPr>
      <w:fldChar w:fldCharType="begin"/>
    </w:r>
    <w:r w:rsidR="00723FCF" w:rsidRPr="004C6ACC">
      <w:rPr>
        <w:rFonts w:asciiTheme="minorHAnsi" w:hAnsiTheme="minorHAnsi"/>
        <w:i/>
        <w:iCs/>
        <w:sz w:val="18"/>
        <w:szCs w:val="18"/>
      </w:rPr>
      <w:instrText xml:space="preserve"> NUMPAGES   \* MERGEFORMAT </w:instrText>
    </w:r>
    <w:r w:rsidR="00723FCF" w:rsidRPr="004C6ACC">
      <w:rPr>
        <w:rFonts w:asciiTheme="minorHAnsi" w:hAnsiTheme="minorHAnsi"/>
        <w:i/>
        <w:iCs/>
        <w:sz w:val="18"/>
        <w:szCs w:val="18"/>
      </w:rPr>
      <w:fldChar w:fldCharType="separate"/>
    </w:r>
    <w:r w:rsidR="00723FCF" w:rsidRPr="004C6ACC">
      <w:rPr>
        <w:rFonts w:asciiTheme="minorHAnsi" w:hAnsiTheme="minorHAnsi"/>
        <w:i/>
        <w:iCs/>
        <w:sz w:val="18"/>
        <w:szCs w:val="18"/>
      </w:rPr>
      <w:t>23</w:t>
    </w:r>
    <w:r w:rsidR="00723FCF" w:rsidRPr="004C6ACC">
      <w:rPr>
        <w:rFonts w:asciiTheme="minorHAnsi" w:hAnsiTheme="minorHAnsi"/>
        <w:i/>
        <w:iCs/>
        <w:sz w:val="18"/>
        <w:szCs w:val="18"/>
      </w:rPr>
      <w:fldChar w:fldCharType="end"/>
    </w:r>
  </w:p>
  <w:p w14:paraId="3D3F12B8" w14:textId="6EFBE212" w:rsidR="00AE5E83" w:rsidRPr="004C6ACC" w:rsidRDefault="00AE5E83" w:rsidP="00F8163F">
    <w:pPr>
      <w:jc w:val="center"/>
      <w:rPr>
        <w:rFonts w:asciiTheme="minorHAnsi" w:hAnsiTheme="minorHAnsi"/>
        <w:sz w:val="18"/>
        <w:szCs w:val="18"/>
      </w:rPr>
    </w:pPr>
  </w:p>
  <w:tbl>
    <w:tblPr>
      <w:tblStyle w:val="Tablaconcuadrcula"/>
      <w:tblpPr w:leftFromText="187" w:rightFromText="187" w:vertAnchor="page" w:tblpXSpec="center" w:tblpYSpec="bottom"/>
      <w:tblOverlap w:val="never"/>
      <w:tblW w:w="109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944"/>
    </w:tblGrid>
    <w:tr w:rsidR="0047363B" w:rsidRPr="004C6ACC" w14:paraId="19171065" w14:textId="77777777" w:rsidTr="00EE1B06">
      <w:trPr>
        <w:jc w:val="center"/>
      </w:trPr>
      <w:tc>
        <w:tcPr>
          <w:tcW w:w="5000" w:type="pct"/>
        </w:tcPr>
        <w:p w14:paraId="37BE00CD" w14:textId="106DE51E" w:rsidR="00F8163F" w:rsidRPr="004C6ACC" w:rsidRDefault="0047363B" w:rsidP="00EE1B06">
          <w:pPr>
            <w:pStyle w:val="Encabezado"/>
            <w:jc w:val="center"/>
            <w:rPr>
              <w:rFonts w:asciiTheme="minorHAnsi" w:hAnsiTheme="minorHAnsi"/>
              <w:b/>
              <w:bCs/>
              <w:color w:val="072357"/>
            </w:rPr>
          </w:pPr>
          <w:r w:rsidRPr="004C6ACC">
            <w:rPr>
              <w:rFonts w:asciiTheme="minorHAnsi" w:hAnsiTheme="minorHAnsi"/>
              <w:b/>
              <w:bCs/>
              <w:color w:val="072357"/>
            </w:rPr>
            <w:t>C</w:t>
          </w:r>
          <w:r w:rsidRPr="004C6ACC">
            <w:rPr>
              <w:rFonts w:asciiTheme="minorHAnsi" w:hAnsiTheme="minorHAnsi"/>
              <w:b/>
              <w:bCs/>
              <w:color w:val="072357"/>
            </w:rPr>
            <w:noBreakHyphen/>
            <w:t xml:space="preserve">TASC AIP – </w:t>
          </w:r>
          <w:r w:rsidR="00F8163F" w:rsidRPr="004C6ACC">
            <w:rPr>
              <w:rFonts w:asciiTheme="minorHAnsi" w:hAnsiTheme="minorHAnsi"/>
              <w:b/>
              <w:bCs/>
              <w:color w:val="072357"/>
            </w:rPr>
            <w:t>Centro de Tecnología Avanzada de Semiconductores AIP</w:t>
          </w:r>
        </w:p>
        <w:p w14:paraId="0F3177CA" w14:textId="517AAC6C" w:rsidR="00B550AC" w:rsidRPr="004C6ACC" w:rsidRDefault="0047363B" w:rsidP="00EE1B06">
          <w:pPr>
            <w:pStyle w:val="Piedepgina"/>
            <w:jc w:val="center"/>
            <w:rPr>
              <w:rFonts w:asciiTheme="minorHAnsi" w:hAnsiTheme="minorHAnsi"/>
              <w:b/>
              <w:bCs/>
              <w:color w:val="7B879D"/>
              <w:sz w:val="18"/>
              <w:szCs w:val="18"/>
            </w:rPr>
          </w:pPr>
          <w:r w:rsidRPr="004C6ACC">
            <w:rPr>
              <w:rFonts w:asciiTheme="minorHAnsi" w:hAnsiTheme="minorHAnsi"/>
              <w:b/>
              <w:bCs/>
              <w:color w:val="7B879D"/>
              <w:sz w:val="18"/>
              <w:szCs w:val="18"/>
            </w:rPr>
            <w:t xml:space="preserve">Edificio de Laboratorios de Investigación e Innovación (ELII), </w:t>
          </w:r>
          <w:r w:rsidR="00051C84" w:rsidRPr="004C6ACC">
            <w:rPr>
              <w:rFonts w:asciiTheme="minorHAnsi" w:hAnsiTheme="minorHAnsi"/>
              <w:b/>
              <w:bCs/>
              <w:color w:val="7B879D"/>
              <w:sz w:val="18"/>
              <w:szCs w:val="18"/>
            </w:rPr>
            <w:t>2do</w:t>
          </w:r>
          <w:r w:rsidRPr="004C6ACC">
            <w:rPr>
              <w:rFonts w:asciiTheme="minorHAnsi" w:hAnsiTheme="minorHAnsi"/>
              <w:b/>
              <w:bCs/>
              <w:color w:val="7B879D"/>
              <w:sz w:val="18"/>
              <w:szCs w:val="18"/>
            </w:rPr>
            <w:t xml:space="preserve"> piso </w:t>
          </w:r>
          <w:r w:rsidR="00B550AC" w:rsidRPr="004C6ACC">
            <w:rPr>
              <w:rFonts w:asciiTheme="minorHAnsi" w:hAnsiTheme="minorHAnsi"/>
              <w:b/>
              <w:bCs/>
              <w:color w:val="7B879D"/>
              <w:sz w:val="18"/>
              <w:szCs w:val="18"/>
            </w:rPr>
            <w:t xml:space="preserve">– </w:t>
          </w:r>
          <w:r w:rsidRPr="004C6ACC">
            <w:rPr>
              <w:rFonts w:asciiTheme="minorHAnsi" w:hAnsiTheme="minorHAnsi"/>
              <w:b/>
              <w:bCs/>
              <w:color w:val="7B879D"/>
              <w:sz w:val="18"/>
              <w:szCs w:val="18"/>
            </w:rPr>
            <w:t>Campus Metropolitano Víctor Levi Sasso</w:t>
          </w:r>
        </w:p>
        <w:p w14:paraId="6426A360" w14:textId="77777777" w:rsidR="0047363B" w:rsidRDefault="0047363B" w:rsidP="00EE1B06">
          <w:pPr>
            <w:pStyle w:val="Piedepgina"/>
            <w:jc w:val="center"/>
            <w:rPr>
              <w:rFonts w:asciiTheme="minorHAnsi" w:hAnsiTheme="minorHAnsi"/>
              <w:b/>
              <w:bCs/>
              <w:color w:val="7B879D"/>
              <w:sz w:val="18"/>
              <w:szCs w:val="18"/>
            </w:rPr>
          </w:pPr>
          <w:r w:rsidRPr="004C6ACC">
            <w:rPr>
              <w:rFonts w:asciiTheme="minorHAnsi" w:hAnsiTheme="minorHAnsi"/>
              <w:b/>
              <w:bCs/>
              <w:color w:val="7B879D"/>
              <w:sz w:val="18"/>
              <w:szCs w:val="18"/>
            </w:rPr>
            <w:t>Universidad Tecnológica de Panamá (UTP)</w:t>
          </w:r>
          <w:r w:rsidR="00B550AC" w:rsidRPr="004C6ACC">
            <w:rPr>
              <w:rFonts w:asciiTheme="minorHAnsi" w:hAnsiTheme="minorHAnsi"/>
              <w:b/>
              <w:bCs/>
              <w:color w:val="7B879D"/>
              <w:sz w:val="18"/>
              <w:szCs w:val="18"/>
            </w:rPr>
            <w:t xml:space="preserve"> – </w:t>
          </w:r>
          <w:r w:rsidRPr="004C6ACC">
            <w:rPr>
              <w:rFonts w:asciiTheme="minorHAnsi" w:hAnsiTheme="minorHAnsi"/>
              <w:b/>
              <w:bCs/>
              <w:color w:val="7B879D"/>
              <w:sz w:val="18"/>
              <w:szCs w:val="18"/>
            </w:rPr>
            <w:t>info@c</w:t>
          </w:r>
          <w:r w:rsidRPr="004C6ACC">
            <w:rPr>
              <w:rFonts w:asciiTheme="minorHAnsi" w:hAnsiTheme="minorHAnsi"/>
              <w:b/>
              <w:bCs/>
              <w:color w:val="7B879D"/>
              <w:sz w:val="18"/>
              <w:szCs w:val="18"/>
            </w:rPr>
            <w:noBreakHyphen/>
            <w:t>tasc.org</w:t>
          </w:r>
          <w:r w:rsidR="004871C8" w:rsidRPr="004C6ACC">
            <w:rPr>
              <w:rFonts w:asciiTheme="minorHAnsi" w:hAnsiTheme="minorHAnsi"/>
              <w:b/>
              <w:bCs/>
              <w:color w:val="7B879D"/>
              <w:sz w:val="18"/>
              <w:szCs w:val="18"/>
            </w:rPr>
            <w:t>.pa</w:t>
          </w:r>
          <w:r w:rsidRPr="004C6ACC">
            <w:rPr>
              <w:rFonts w:asciiTheme="minorHAnsi" w:hAnsiTheme="minorHAnsi"/>
              <w:b/>
              <w:bCs/>
              <w:color w:val="7B879D"/>
              <w:sz w:val="18"/>
              <w:szCs w:val="18"/>
            </w:rPr>
            <w:t xml:space="preserve"> – www.c</w:t>
          </w:r>
          <w:r w:rsidRPr="004C6ACC">
            <w:rPr>
              <w:rFonts w:asciiTheme="minorHAnsi" w:hAnsiTheme="minorHAnsi"/>
              <w:b/>
              <w:bCs/>
              <w:color w:val="7B879D"/>
              <w:sz w:val="18"/>
              <w:szCs w:val="18"/>
            </w:rPr>
            <w:noBreakHyphen/>
            <w:t>tasc.org.pa – Tel. 524</w:t>
          </w:r>
          <w:r w:rsidRPr="004C6ACC">
            <w:rPr>
              <w:rFonts w:asciiTheme="minorHAnsi" w:hAnsiTheme="minorHAnsi"/>
              <w:b/>
              <w:bCs/>
              <w:color w:val="7B879D"/>
              <w:sz w:val="18"/>
              <w:szCs w:val="18"/>
            </w:rPr>
            <w:noBreakHyphen/>
            <w:t>8109</w:t>
          </w:r>
        </w:p>
        <w:p w14:paraId="77CD4683" w14:textId="77777777" w:rsidR="00EE1B06" w:rsidRPr="004C6ACC" w:rsidRDefault="00EE1B06" w:rsidP="00EE1B06">
          <w:pPr>
            <w:pStyle w:val="Piedepgina"/>
            <w:jc w:val="center"/>
            <w:rPr>
              <w:rFonts w:asciiTheme="minorHAnsi" w:hAnsiTheme="minorHAnsi"/>
              <w:color w:val="435370"/>
              <w:sz w:val="18"/>
              <w:szCs w:val="18"/>
            </w:rPr>
          </w:pPr>
        </w:p>
      </w:tc>
    </w:tr>
  </w:tbl>
  <w:p w14:paraId="24DCAF76" w14:textId="77777777" w:rsidR="006D3601" w:rsidRPr="004C6ACC" w:rsidRDefault="006D3601" w:rsidP="00F8163F">
    <w:pPr>
      <w:pStyle w:val="Piedepgina"/>
      <w:jc w:val="center"/>
      <w:rPr>
        <w:rFonts w:asciiTheme="minorHAnsi" w:hAnsiTheme="minorHAns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54640" w14:textId="77777777" w:rsidR="00A66E61" w:rsidRPr="004C6ACC" w:rsidRDefault="00A66E61" w:rsidP="00797EBC">
      <w:r w:rsidRPr="004C6ACC">
        <w:separator/>
      </w:r>
    </w:p>
  </w:footnote>
  <w:footnote w:type="continuationSeparator" w:id="0">
    <w:p w14:paraId="266CB807" w14:textId="77777777" w:rsidR="00A66E61" w:rsidRPr="004C6ACC" w:rsidRDefault="00A66E61" w:rsidP="00797EBC">
      <w:r w:rsidRPr="004C6AC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44" w:type="dxa"/>
      <w:tblInd w:w="-648" w:type="dxa"/>
      <w:tblLayout w:type="fixed"/>
      <w:tblCellMar>
        <w:left w:w="0" w:type="dxa"/>
        <w:right w:w="0" w:type="dxa"/>
      </w:tblCellMar>
      <w:tblLook w:val="0000" w:firstRow="0" w:lastRow="0" w:firstColumn="0" w:lastColumn="0" w:noHBand="0" w:noVBand="0"/>
    </w:tblPr>
    <w:tblGrid>
      <w:gridCol w:w="10944"/>
    </w:tblGrid>
    <w:tr w:rsidR="00CF629E" w:rsidRPr="004C6ACC" w14:paraId="050C5FF5" w14:textId="77777777" w:rsidTr="00CF629E">
      <w:trPr>
        <w:cantSplit/>
        <w:trHeight w:hRule="exact" w:val="864"/>
      </w:trPr>
      <w:tc>
        <w:tcPr>
          <w:tcW w:w="5000" w:type="pct"/>
        </w:tcPr>
        <w:p w14:paraId="78EF07D5" w14:textId="334A3305" w:rsidR="00F83159" w:rsidRPr="00F83159" w:rsidRDefault="00F83159" w:rsidP="00F83159">
          <w:pPr>
            <w:tabs>
              <w:tab w:val="left" w:pos="2705"/>
            </w:tabs>
            <w:jc w:val="center"/>
          </w:pPr>
          <w:r w:rsidRPr="004C6ACC">
            <w:rPr>
              <w:noProof/>
              <w14:ligatures w14:val="standardContextual"/>
            </w:rPr>
            <w:drawing>
              <wp:inline distT="0" distB="0" distL="0" distR="0" wp14:anchorId="409428E6" wp14:editId="0EF1D07B">
                <wp:extent cx="5690235" cy="548640"/>
                <wp:effectExtent l="0" t="0" r="5715" b="3810"/>
                <wp:docPr id="255088881" name="Picture 2" descr="Semiconductores AI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416119" name="Picture 2" descr="Semiconductores AIP&#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690235" cy="548640"/>
                        </a:xfrm>
                        <a:prstGeom prst="rect">
                          <a:avLst/>
                        </a:prstGeom>
                      </pic:spPr>
                    </pic:pic>
                  </a:graphicData>
                </a:graphic>
              </wp:inline>
            </w:drawing>
          </w:r>
        </w:p>
      </w:tc>
    </w:tr>
  </w:tbl>
  <w:p w14:paraId="46C9EAEF" w14:textId="77777777" w:rsidR="00797EBC" w:rsidRPr="004C6ACC" w:rsidRDefault="00797EB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165FD"/>
    <w:multiLevelType w:val="hybridMultilevel"/>
    <w:tmpl w:val="F66E8E88"/>
    <w:lvl w:ilvl="0" w:tplc="FFFFFFFF">
      <w:start w:val="1"/>
      <w:numFmt w:val="bullet"/>
      <w:lvlText w:val="•"/>
      <w:lvlJc w:val="left"/>
      <w:pPr>
        <w:ind w:left="720" w:hanging="360"/>
      </w:pPr>
    </w:lvl>
    <w:lvl w:ilvl="1" w:tplc="4B22DE5C">
      <w:start w:val="1"/>
      <w:numFmt w:val="bullet"/>
      <w:lvlText w:val="•"/>
      <w:lvlJc w:val="left"/>
      <w:pPr>
        <w:ind w:left="72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8E14C35"/>
    <w:multiLevelType w:val="hybridMultilevel"/>
    <w:tmpl w:val="C792C002"/>
    <w:lvl w:ilvl="0" w:tplc="8786C79A">
      <w:start w:val="1"/>
      <w:numFmt w:val="bullet"/>
      <w:lvlText w:val="•"/>
      <w:lvlJc w:val="left"/>
      <w:pPr>
        <w:ind w:left="720" w:hanging="360"/>
      </w:pPr>
    </w:lvl>
    <w:lvl w:ilvl="1" w:tplc="F4FABE8C">
      <w:start w:val="1"/>
      <w:numFmt w:val="bullet"/>
      <w:lvlText w:val="◦"/>
      <w:lvlJc w:val="left"/>
      <w:pPr>
        <w:ind w:left="1440" w:hanging="360"/>
      </w:pPr>
    </w:lvl>
    <w:lvl w:ilvl="2" w:tplc="98CAFFE6">
      <w:numFmt w:val="decimal"/>
      <w:lvlText w:val=""/>
      <w:lvlJc w:val="left"/>
    </w:lvl>
    <w:lvl w:ilvl="3" w:tplc="AF0C0130">
      <w:numFmt w:val="decimal"/>
      <w:lvlText w:val=""/>
      <w:lvlJc w:val="left"/>
    </w:lvl>
    <w:lvl w:ilvl="4" w:tplc="FB569F16">
      <w:numFmt w:val="decimal"/>
      <w:lvlText w:val=""/>
      <w:lvlJc w:val="left"/>
    </w:lvl>
    <w:lvl w:ilvl="5" w:tplc="775ED7E4">
      <w:numFmt w:val="decimal"/>
      <w:lvlText w:val=""/>
      <w:lvlJc w:val="left"/>
    </w:lvl>
    <w:lvl w:ilvl="6" w:tplc="F072E662">
      <w:numFmt w:val="decimal"/>
      <w:lvlText w:val=""/>
      <w:lvlJc w:val="left"/>
    </w:lvl>
    <w:lvl w:ilvl="7" w:tplc="BDBAFCA6">
      <w:numFmt w:val="decimal"/>
      <w:lvlText w:val=""/>
      <w:lvlJc w:val="left"/>
    </w:lvl>
    <w:lvl w:ilvl="8" w:tplc="2202E9FC">
      <w:numFmt w:val="decimal"/>
      <w:lvlText w:val=""/>
      <w:lvlJc w:val="left"/>
    </w:lvl>
  </w:abstractNum>
  <w:abstractNum w:abstractNumId="2" w15:restartNumberingAfterBreak="0">
    <w:nsid w:val="09233E75"/>
    <w:multiLevelType w:val="hybridMultilevel"/>
    <w:tmpl w:val="9FC0F970"/>
    <w:lvl w:ilvl="0" w:tplc="4B22DE5C">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412694"/>
    <w:multiLevelType w:val="hybridMultilevel"/>
    <w:tmpl w:val="7B0C1346"/>
    <w:lvl w:ilvl="0" w:tplc="D5F842CC">
      <w:start w:val="1"/>
      <w:numFmt w:val="decimal"/>
      <w:lvlText w:val="%1."/>
      <w:lvlJc w:val="left"/>
      <w:pPr>
        <w:ind w:left="720" w:hanging="360"/>
      </w:pPr>
    </w:lvl>
    <w:lvl w:ilvl="1" w:tplc="DB2481BA">
      <w:start w:val="1"/>
      <w:numFmt w:val="lowerLetter"/>
      <w:lvlText w:val="%2)"/>
      <w:lvlJc w:val="left"/>
      <w:pPr>
        <w:ind w:left="1440" w:hanging="360"/>
      </w:pPr>
    </w:lvl>
    <w:lvl w:ilvl="2" w:tplc="6528183A">
      <w:numFmt w:val="decimal"/>
      <w:lvlText w:val=""/>
      <w:lvlJc w:val="left"/>
    </w:lvl>
    <w:lvl w:ilvl="3" w:tplc="D7E29BDC">
      <w:numFmt w:val="decimal"/>
      <w:lvlText w:val=""/>
      <w:lvlJc w:val="left"/>
    </w:lvl>
    <w:lvl w:ilvl="4" w:tplc="C37C02CE">
      <w:numFmt w:val="decimal"/>
      <w:lvlText w:val=""/>
      <w:lvlJc w:val="left"/>
    </w:lvl>
    <w:lvl w:ilvl="5" w:tplc="DD42CE98">
      <w:numFmt w:val="decimal"/>
      <w:lvlText w:val=""/>
      <w:lvlJc w:val="left"/>
    </w:lvl>
    <w:lvl w:ilvl="6" w:tplc="55561DAE">
      <w:numFmt w:val="decimal"/>
      <w:lvlText w:val=""/>
      <w:lvlJc w:val="left"/>
    </w:lvl>
    <w:lvl w:ilvl="7" w:tplc="FCCCBC2E">
      <w:numFmt w:val="decimal"/>
      <w:lvlText w:val=""/>
      <w:lvlJc w:val="left"/>
    </w:lvl>
    <w:lvl w:ilvl="8" w:tplc="A510C9B2">
      <w:numFmt w:val="decimal"/>
      <w:lvlText w:val=""/>
      <w:lvlJc w:val="left"/>
    </w:lvl>
  </w:abstractNum>
  <w:abstractNum w:abstractNumId="4" w15:restartNumberingAfterBreak="0">
    <w:nsid w:val="0C6A5D53"/>
    <w:multiLevelType w:val="hybridMultilevel"/>
    <w:tmpl w:val="E43EB6FE"/>
    <w:lvl w:ilvl="0" w:tplc="4B22DE5C">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891633"/>
    <w:multiLevelType w:val="hybridMultilevel"/>
    <w:tmpl w:val="8C7864AC"/>
    <w:lvl w:ilvl="0" w:tplc="884076EC">
      <w:start w:val="1"/>
      <w:numFmt w:val="bullet"/>
      <w:lvlText w:val="●"/>
      <w:lvlJc w:val="left"/>
      <w:pPr>
        <w:ind w:left="720" w:hanging="360"/>
      </w:pPr>
    </w:lvl>
    <w:lvl w:ilvl="1" w:tplc="C2165E32">
      <w:start w:val="1"/>
      <w:numFmt w:val="bullet"/>
      <w:lvlText w:val="○"/>
      <w:lvlJc w:val="left"/>
      <w:pPr>
        <w:ind w:left="1440" w:hanging="360"/>
      </w:pPr>
    </w:lvl>
    <w:lvl w:ilvl="2" w:tplc="4260B550">
      <w:start w:val="1"/>
      <w:numFmt w:val="bullet"/>
      <w:lvlText w:val="■"/>
      <w:lvlJc w:val="left"/>
      <w:pPr>
        <w:ind w:left="2160" w:hanging="360"/>
      </w:pPr>
    </w:lvl>
    <w:lvl w:ilvl="3" w:tplc="5BDEC5A0">
      <w:start w:val="1"/>
      <w:numFmt w:val="bullet"/>
      <w:lvlText w:val="●"/>
      <w:lvlJc w:val="left"/>
      <w:pPr>
        <w:ind w:left="2880" w:hanging="360"/>
      </w:pPr>
    </w:lvl>
    <w:lvl w:ilvl="4" w:tplc="235A86BE">
      <w:start w:val="1"/>
      <w:numFmt w:val="bullet"/>
      <w:lvlText w:val="○"/>
      <w:lvlJc w:val="left"/>
      <w:pPr>
        <w:ind w:left="3600" w:hanging="360"/>
      </w:pPr>
    </w:lvl>
    <w:lvl w:ilvl="5" w:tplc="B064A314">
      <w:start w:val="1"/>
      <w:numFmt w:val="bullet"/>
      <w:lvlText w:val="■"/>
      <w:lvlJc w:val="left"/>
      <w:pPr>
        <w:ind w:left="4320" w:hanging="360"/>
      </w:pPr>
    </w:lvl>
    <w:lvl w:ilvl="6" w:tplc="DA8016C0">
      <w:start w:val="1"/>
      <w:numFmt w:val="bullet"/>
      <w:lvlText w:val="●"/>
      <w:lvlJc w:val="left"/>
      <w:pPr>
        <w:ind w:left="5040" w:hanging="360"/>
      </w:pPr>
    </w:lvl>
    <w:lvl w:ilvl="7" w:tplc="20246196">
      <w:start w:val="1"/>
      <w:numFmt w:val="bullet"/>
      <w:lvlText w:val="●"/>
      <w:lvlJc w:val="left"/>
      <w:pPr>
        <w:ind w:left="5760" w:hanging="360"/>
      </w:pPr>
    </w:lvl>
    <w:lvl w:ilvl="8" w:tplc="0BF62A62">
      <w:start w:val="1"/>
      <w:numFmt w:val="bullet"/>
      <w:lvlText w:val="●"/>
      <w:lvlJc w:val="left"/>
      <w:pPr>
        <w:ind w:left="6480" w:hanging="360"/>
      </w:pPr>
    </w:lvl>
  </w:abstractNum>
  <w:abstractNum w:abstractNumId="6" w15:restartNumberingAfterBreak="0">
    <w:nsid w:val="108F621E"/>
    <w:multiLevelType w:val="multilevel"/>
    <w:tmpl w:val="C79091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175FA4"/>
    <w:multiLevelType w:val="hybridMultilevel"/>
    <w:tmpl w:val="36D88ECC"/>
    <w:lvl w:ilvl="0" w:tplc="0F3CC8B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06128E"/>
    <w:multiLevelType w:val="hybridMultilevel"/>
    <w:tmpl w:val="EC76F532"/>
    <w:lvl w:ilvl="0" w:tplc="9DA6660A">
      <w:start w:val="5"/>
      <w:numFmt w:val="bullet"/>
      <w:lvlText w:val="-"/>
      <w:lvlJc w:val="left"/>
      <w:pPr>
        <w:ind w:left="720" w:hanging="360"/>
      </w:pPr>
      <w:rPr>
        <w:rFonts w:ascii="Aptos" w:eastAsia="Arial" w:hAnsi="Apto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E450E8"/>
    <w:multiLevelType w:val="multilevel"/>
    <w:tmpl w:val="24D8C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F72A8C"/>
    <w:multiLevelType w:val="hybridMultilevel"/>
    <w:tmpl w:val="D99A9DDA"/>
    <w:lvl w:ilvl="0" w:tplc="4B22DE5C">
      <w:start w:val="1"/>
      <w:numFmt w:val="bullet"/>
      <w:lvlText w:val="•"/>
      <w:lvlJc w:val="left"/>
      <w:pPr>
        <w:ind w:left="720" w:hanging="360"/>
      </w:pPr>
    </w:lvl>
    <w:lvl w:ilvl="1" w:tplc="31FA9A32">
      <w:start w:val="1"/>
      <w:numFmt w:val="bullet"/>
      <w:lvlText w:val="◦"/>
      <w:lvlJc w:val="left"/>
      <w:pPr>
        <w:ind w:left="1440" w:hanging="360"/>
      </w:pPr>
    </w:lvl>
    <w:lvl w:ilvl="2" w:tplc="14FC8D16">
      <w:numFmt w:val="decimal"/>
      <w:lvlText w:val=""/>
      <w:lvlJc w:val="left"/>
    </w:lvl>
    <w:lvl w:ilvl="3" w:tplc="EC96D28C">
      <w:numFmt w:val="decimal"/>
      <w:lvlText w:val=""/>
      <w:lvlJc w:val="left"/>
    </w:lvl>
    <w:lvl w:ilvl="4" w:tplc="EF1A4F54">
      <w:numFmt w:val="decimal"/>
      <w:lvlText w:val=""/>
      <w:lvlJc w:val="left"/>
    </w:lvl>
    <w:lvl w:ilvl="5" w:tplc="BC2A2CFA">
      <w:numFmt w:val="decimal"/>
      <w:lvlText w:val=""/>
      <w:lvlJc w:val="left"/>
    </w:lvl>
    <w:lvl w:ilvl="6" w:tplc="CF22EE80">
      <w:numFmt w:val="decimal"/>
      <w:lvlText w:val=""/>
      <w:lvlJc w:val="left"/>
    </w:lvl>
    <w:lvl w:ilvl="7" w:tplc="52CA5FAE">
      <w:numFmt w:val="decimal"/>
      <w:lvlText w:val=""/>
      <w:lvlJc w:val="left"/>
    </w:lvl>
    <w:lvl w:ilvl="8" w:tplc="30F463BE">
      <w:numFmt w:val="decimal"/>
      <w:lvlText w:val=""/>
      <w:lvlJc w:val="left"/>
    </w:lvl>
  </w:abstractNum>
  <w:abstractNum w:abstractNumId="11" w15:restartNumberingAfterBreak="0">
    <w:nsid w:val="269013AD"/>
    <w:multiLevelType w:val="hybridMultilevel"/>
    <w:tmpl w:val="299EFA20"/>
    <w:lvl w:ilvl="0" w:tplc="43E066CC">
      <w:start w:val="1"/>
      <w:numFmt w:val="decimal"/>
      <w:lvlText w:val="%1."/>
      <w:lvlJc w:val="left"/>
      <w:pPr>
        <w:ind w:left="720" w:hanging="360"/>
      </w:pPr>
    </w:lvl>
    <w:lvl w:ilvl="1" w:tplc="1562B8CC">
      <w:numFmt w:val="decimal"/>
      <w:lvlText w:val=""/>
      <w:lvlJc w:val="left"/>
    </w:lvl>
    <w:lvl w:ilvl="2" w:tplc="239C66B4">
      <w:numFmt w:val="decimal"/>
      <w:lvlText w:val=""/>
      <w:lvlJc w:val="left"/>
    </w:lvl>
    <w:lvl w:ilvl="3" w:tplc="8370D9EE">
      <w:numFmt w:val="decimal"/>
      <w:lvlText w:val=""/>
      <w:lvlJc w:val="left"/>
    </w:lvl>
    <w:lvl w:ilvl="4" w:tplc="1E946632">
      <w:numFmt w:val="decimal"/>
      <w:lvlText w:val=""/>
      <w:lvlJc w:val="left"/>
    </w:lvl>
    <w:lvl w:ilvl="5" w:tplc="10A26AF0">
      <w:numFmt w:val="decimal"/>
      <w:lvlText w:val=""/>
      <w:lvlJc w:val="left"/>
    </w:lvl>
    <w:lvl w:ilvl="6" w:tplc="0402FD80">
      <w:numFmt w:val="decimal"/>
      <w:lvlText w:val=""/>
      <w:lvlJc w:val="left"/>
    </w:lvl>
    <w:lvl w:ilvl="7" w:tplc="A566C770">
      <w:numFmt w:val="decimal"/>
      <w:lvlText w:val=""/>
      <w:lvlJc w:val="left"/>
    </w:lvl>
    <w:lvl w:ilvl="8" w:tplc="A0686636">
      <w:numFmt w:val="decimal"/>
      <w:lvlText w:val=""/>
      <w:lvlJc w:val="left"/>
    </w:lvl>
  </w:abstractNum>
  <w:abstractNum w:abstractNumId="12" w15:restartNumberingAfterBreak="0">
    <w:nsid w:val="295D2119"/>
    <w:multiLevelType w:val="multilevel"/>
    <w:tmpl w:val="DA7C8A6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2727A0E"/>
    <w:multiLevelType w:val="hybridMultilevel"/>
    <w:tmpl w:val="22A8097A"/>
    <w:lvl w:ilvl="0" w:tplc="4B22DE5C">
      <w:start w:val="1"/>
      <w:numFmt w:val="bullet"/>
      <w:lvlText w:val="•"/>
      <w:lvlJc w:val="left"/>
      <w:pPr>
        <w:ind w:left="720" w:hanging="360"/>
      </w:pPr>
      <w:rPr>
        <w:rFonts w:hint="default"/>
      </w:rPr>
    </w:lvl>
    <w:lvl w:ilvl="1" w:tplc="C8B0BFEC">
      <w:numFmt w:val="bullet"/>
      <w:lvlText w:val="—"/>
      <w:lvlJc w:val="left"/>
      <w:pPr>
        <w:ind w:left="1440" w:hanging="360"/>
      </w:pPr>
      <w:rPr>
        <w:rFonts w:ascii="Aptos" w:eastAsia="Times New Roman" w:hAnsi="Aptos"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2EA7578"/>
    <w:multiLevelType w:val="hybridMultilevel"/>
    <w:tmpl w:val="55DE9FD2"/>
    <w:lvl w:ilvl="0" w:tplc="016C0BC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7E6C25"/>
    <w:multiLevelType w:val="hybridMultilevel"/>
    <w:tmpl w:val="53926196"/>
    <w:lvl w:ilvl="0" w:tplc="2398F240">
      <w:start w:val="1"/>
      <w:numFmt w:val="bullet"/>
      <w:lvlText w:val="●"/>
      <w:lvlJc w:val="left"/>
      <w:pPr>
        <w:ind w:left="720" w:hanging="360"/>
      </w:pPr>
    </w:lvl>
    <w:lvl w:ilvl="1" w:tplc="0538B034">
      <w:start w:val="1"/>
      <w:numFmt w:val="bullet"/>
      <w:lvlText w:val="○"/>
      <w:lvlJc w:val="left"/>
      <w:pPr>
        <w:ind w:left="1440" w:hanging="360"/>
      </w:pPr>
    </w:lvl>
    <w:lvl w:ilvl="2" w:tplc="266A0750">
      <w:start w:val="1"/>
      <w:numFmt w:val="bullet"/>
      <w:lvlText w:val="■"/>
      <w:lvlJc w:val="left"/>
      <w:pPr>
        <w:ind w:left="2160" w:hanging="360"/>
      </w:pPr>
    </w:lvl>
    <w:lvl w:ilvl="3" w:tplc="F6A0EA60">
      <w:start w:val="1"/>
      <w:numFmt w:val="bullet"/>
      <w:lvlText w:val="●"/>
      <w:lvlJc w:val="left"/>
      <w:pPr>
        <w:ind w:left="2880" w:hanging="360"/>
      </w:pPr>
    </w:lvl>
    <w:lvl w:ilvl="4" w:tplc="22E40CBA">
      <w:start w:val="1"/>
      <w:numFmt w:val="bullet"/>
      <w:lvlText w:val="○"/>
      <w:lvlJc w:val="left"/>
      <w:pPr>
        <w:ind w:left="3600" w:hanging="360"/>
      </w:pPr>
    </w:lvl>
    <w:lvl w:ilvl="5" w:tplc="7BD653EA">
      <w:start w:val="1"/>
      <w:numFmt w:val="bullet"/>
      <w:lvlText w:val="■"/>
      <w:lvlJc w:val="left"/>
      <w:pPr>
        <w:ind w:left="4320" w:hanging="360"/>
      </w:pPr>
    </w:lvl>
    <w:lvl w:ilvl="6" w:tplc="9DFEC2B6">
      <w:start w:val="1"/>
      <w:numFmt w:val="bullet"/>
      <w:lvlText w:val="●"/>
      <w:lvlJc w:val="left"/>
      <w:pPr>
        <w:ind w:left="5040" w:hanging="360"/>
      </w:pPr>
    </w:lvl>
    <w:lvl w:ilvl="7" w:tplc="312261EE">
      <w:start w:val="1"/>
      <w:numFmt w:val="bullet"/>
      <w:lvlText w:val="●"/>
      <w:lvlJc w:val="left"/>
      <w:pPr>
        <w:ind w:left="5760" w:hanging="360"/>
      </w:pPr>
    </w:lvl>
    <w:lvl w:ilvl="8" w:tplc="3DEAB78C">
      <w:start w:val="1"/>
      <w:numFmt w:val="bullet"/>
      <w:lvlText w:val="●"/>
      <w:lvlJc w:val="left"/>
      <w:pPr>
        <w:ind w:left="6480" w:hanging="360"/>
      </w:pPr>
    </w:lvl>
  </w:abstractNum>
  <w:abstractNum w:abstractNumId="16" w15:restartNumberingAfterBreak="0">
    <w:nsid w:val="37574AFD"/>
    <w:multiLevelType w:val="hybridMultilevel"/>
    <w:tmpl w:val="520C1364"/>
    <w:lvl w:ilvl="0" w:tplc="FFFFFFFF">
      <w:start w:val="1"/>
      <w:numFmt w:val="bullet"/>
      <w:lvlText w:val="•"/>
      <w:lvlJc w:val="left"/>
      <w:pPr>
        <w:ind w:left="720" w:hanging="360"/>
      </w:pPr>
    </w:lvl>
    <w:lvl w:ilvl="1" w:tplc="4B22DE5C">
      <w:start w:val="1"/>
      <w:numFmt w:val="bullet"/>
      <w:lvlText w:val="•"/>
      <w:lvlJc w:val="left"/>
      <w:pPr>
        <w:ind w:left="72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9873832"/>
    <w:multiLevelType w:val="multilevel"/>
    <w:tmpl w:val="0D64E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365965"/>
    <w:multiLevelType w:val="hybridMultilevel"/>
    <w:tmpl w:val="50683A22"/>
    <w:lvl w:ilvl="0" w:tplc="0E949922">
      <w:start w:val="7"/>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9E6F25"/>
    <w:multiLevelType w:val="hybridMultilevel"/>
    <w:tmpl w:val="5AEEE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3F2863"/>
    <w:multiLevelType w:val="multilevel"/>
    <w:tmpl w:val="4C8AD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B94CC2"/>
    <w:multiLevelType w:val="hybridMultilevel"/>
    <w:tmpl w:val="E8824912"/>
    <w:lvl w:ilvl="0" w:tplc="948C5522">
      <w:start w:val="1"/>
      <w:numFmt w:val="decimal"/>
      <w:lvlText w:val="%1."/>
      <w:lvlJc w:val="left"/>
      <w:pPr>
        <w:ind w:left="720" w:hanging="360"/>
      </w:pPr>
    </w:lvl>
    <w:lvl w:ilvl="1" w:tplc="8EC82BA2">
      <w:numFmt w:val="decimal"/>
      <w:lvlText w:val=""/>
      <w:lvlJc w:val="left"/>
    </w:lvl>
    <w:lvl w:ilvl="2" w:tplc="51F0EFFA">
      <w:numFmt w:val="decimal"/>
      <w:lvlText w:val=""/>
      <w:lvlJc w:val="left"/>
    </w:lvl>
    <w:lvl w:ilvl="3" w:tplc="0A98AAF4">
      <w:numFmt w:val="decimal"/>
      <w:lvlText w:val=""/>
      <w:lvlJc w:val="left"/>
    </w:lvl>
    <w:lvl w:ilvl="4" w:tplc="F6CA3030">
      <w:numFmt w:val="decimal"/>
      <w:lvlText w:val=""/>
      <w:lvlJc w:val="left"/>
    </w:lvl>
    <w:lvl w:ilvl="5" w:tplc="1DEA0494">
      <w:numFmt w:val="decimal"/>
      <w:lvlText w:val=""/>
      <w:lvlJc w:val="left"/>
    </w:lvl>
    <w:lvl w:ilvl="6" w:tplc="1E32A390">
      <w:numFmt w:val="decimal"/>
      <w:lvlText w:val=""/>
      <w:lvlJc w:val="left"/>
    </w:lvl>
    <w:lvl w:ilvl="7" w:tplc="4DA89028">
      <w:numFmt w:val="decimal"/>
      <w:lvlText w:val=""/>
      <w:lvlJc w:val="left"/>
    </w:lvl>
    <w:lvl w:ilvl="8" w:tplc="C43E16C0">
      <w:numFmt w:val="decimal"/>
      <w:lvlText w:val=""/>
      <w:lvlJc w:val="left"/>
    </w:lvl>
  </w:abstractNum>
  <w:abstractNum w:abstractNumId="22" w15:restartNumberingAfterBreak="0">
    <w:nsid w:val="51183EF7"/>
    <w:multiLevelType w:val="multilevel"/>
    <w:tmpl w:val="7D7A210C"/>
    <w:lvl w:ilvl="0">
      <w:start w:val="1"/>
      <w:numFmt w:val="decimal"/>
      <w:lvlText w:val="%1"/>
      <w:lvlJc w:val="left"/>
      <w:pPr>
        <w:ind w:left="473" w:hanging="473"/>
      </w:pPr>
      <w:rPr>
        <w:rFonts w:hint="default"/>
      </w:rPr>
    </w:lvl>
    <w:lvl w:ilvl="1">
      <w:start w:val="1"/>
      <w:numFmt w:val="decimal"/>
      <w:lvlText w:val="%1.%2"/>
      <w:lvlJc w:val="left"/>
      <w:pPr>
        <w:ind w:left="473" w:hanging="473"/>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30E10C4"/>
    <w:multiLevelType w:val="hybridMultilevel"/>
    <w:tmpl w:val="41EC6A20"/>
    <w:lvl w:ilvl="0" w:tplc="4B22DE5C">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B1C1C0C"/>
    <w:multiLevelType w:val="multilevel"/>
    <w:tmpl w:val="39B68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767276"/>
    <w:multiLevelType w:val="hybridMultilevel"/>
    <w:tmpl w:val="5268DB2C"/>
    <w:lvl w:ilvl="0" w:tplc="4B22DE5C">
      <w:start w:val="1"/>
      <w:numFmt w:val="bullet"/>
      <w:lvlText w:val="•"/>
      <w:lvlJc w:val="left"/>
      <w:pPr>
        <w:ind w:left="720" w:hanging="360"/>
      </w:p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1ED12FB"/>
    <w:multiLevelType w:val="multilevel"/>
    <w:tmpl w:val="A52C0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463542"/>
    <w:multiLevelType w:val="hybridMultilevel"/>
    <w:tmpl w:val="8A6E022E"/>
    <w:lvl w:ilvl="0" w:tplc="FFFFFFFF">
      <w:start w:val="1"/>
      <w:numFmt w:val="bullet"/>
      <w:lvlText w:val="•"/>
      <w:lvlJc w:val="left"/>
      <w:pPr>
        <w:ind w:left="720" w:hanging="360"/>
      </w:pPr>
    </w:lvl>
    <w:lvl w:ilvl="1" w:tplc="4B22DE5C">
      <w:start w:val="1"/>
      <w:numFmt w:val="bullet"/>
      <w:lvlText w:val="•"/>
      <w:lvlJc w:val="left"/>
      <w:pPr>
        <w:ind w:left="72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7A0049B"/>
    <w:multiLevelType w:val="hybridMultilevel"/>
    <w:tmpl w:val="547ED36E"/>
    <w:lvl w:ilvl="0" w:tplc="629A1E2E">
      <w:numFmt w:val="bullet"/>
      <w:lvlText w:val="—"/>
      <w:lvlJc w:val="left"/>
      <w:pPr>
        <w:ind w:left="720" w:hanging="360"/>
      </w:pPr>
      <w:rPr>
        <w:rFonts w:ascii="Aptos" w:eastAsia="Times New Roman" w:hAnsi="Apto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D54F2A"/>
    <w:multiLevelType w:val="hybridMultilevel"/>
    <w:tmpl w:val="A2146C74"/>
    <w:lvl w:ilvl="0" w:tplc="2398F240">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AE6231"/>
    <w:multiLevelType w:val="hybridMultilevel"/>
    <w:tmpl w:val="58E4B34A"/>
    <w:lvl w:ilvl="0" w:tplc="41A47FDA">
      <w:numFmt w:val="bullet"/>
      <w:lvlText w:val="—"/>
      <w:lvlJc w:val="left"/>
      <w:pPr>
        <w:ind w:left="720" w:hanging="360"/>
      </w:pPr>
      <w:rPr>
        <w:rFonts w:ascii="Aptos" w:eastAsia="Times New Roman" w:hAnsi="Apto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BA1632"/>
    <w:multiLevelType w:val="hybridMultilevel"/>
    <w:tmpl w:val="3CB68882"/>
    <w:lvl w:ilvl="0" w:tplc="4B22DE5C">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2E71DB"/>
    <w:multiLevelType w:val="hybridMultilevel"/>
    <w:tmpl w:val="75F6C2A0"/>
    <w:lvl w:ilvl="0" w:tplc="209C71CC">
      <w:start w:val="1"/>
      <w:numFmt w:val="bullet"/>
      <w:lvlText w:val="•"/>
      <w:lvlJc w:val="left"/>
      <w:pPr>
        <w:ind w:left="720" w:hanging="360"/>
      </w:pPr>
    </w:lvl>
    <w:lvl w:ilvl="1" w:tplc="1A7C82F2">
      <w:start w:val="1"/>
      <w:numFmt w:val="bullet"/>
      <w:lvlText w:val="◦"/>
      <w:lvlJc w:val="left"/>
      <w:pPr>
        <w:ind w:left="1440" w:hanging="360"/>
      </w:pPr>
    </w:lvl>
    <w:lvl w:ilvl="2" w:tplc="020E215E">
      <w:numFmt w:val="decimal"/>
      <w:lvlText w:val=""/>
      <w:lvlJc w:val="left"/>
    </w:lvl>
    <w:lvl w:ilvl="3" w:tplc="5AA4A344">
      <w:numFmt w:val="decimal"/>
      <w:lvlText w:val=""/>
      <w:lvlJc w:val="left"/>
    </w:lvl>
    <w:lvl w:ilvl="4" w:tplc="16C2738A">
      <w:numFmt w:val="decimal"/>
      <w:lvlText w:val=""/>
      <w:lvlJc w:val="left"/>
    </w:lvl>
    <w:lvl w:ilvl="5" w:tplc="18E2D91A">
      <w:numFmt w:val="decimal"/>
      <w:lvlText w:val=""/>
      <w:lvlJc w:val="left"/>
    </w:lvl>
    <w:lvl w:ilvl="6" w:tplc="4EC8BE44">
      <w:numFmt w:val="decimal"/>
      <w:lvlText w:val=""/>
      <w:lvlJc w:val="left"/>
    </w:lvl>
    <w:lvl w:ilvl="7" w:tplc="D56E9610">
      <w:numFmt w:val="decimal"/>
      <w:lvlText w:val=""/>
      <w:lvlJc w:val="left"/>
    </w:lvl>
    <w:lvl w:ilvl="8" w:tplc="7AB29088">
      <w:numFmt w:val="decimal"/>
      <w:lvlText w:val=""/>
      <w:lvlJc w:val="left"/>
    </w:lvl>
  </w:abstractNum>
  <w:abstractNum w:abstractNumId="33" w15:restartNumberingAfterBreak="0">
    <w:nsid w:val="7E8C1DFA"/>
    <w:multiLevelType w:val="hybridMultilevel"/>
    <w:tmpl w:val="57F6E4EC"/>
    <w:lvl w:ilvl="0" w:tplc="4B22DE5C">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55490209">
    <w:abstractNumId w:val="6"/>
  </w:num>
  <w:num w:numId="2" w16cid:durableId="614480119">
    <w:abstractNumId w:val="26"/>
  </w:num>
  <w:num w:numId="3" w16cid:durableId="425883939">
    <w:abstractNumId w:val="15"/>
    <w:lvlOverride w:ilvl="0">
      <w:startOverride w:val="1"/>
    </w:lvlOverride>
  </w:num>
  <w:num w:numId="4" w16cid:durableId="635453986">
    <w:abstractNumId w:val="1"/>
    <w:lvlOverride w:ilvl="0">
      <w:startOverride w:val="1"/>
    </w:lvlOverride>
  </w:num>
  <w:num w:numId="5" w16cid:durableId="432020690">
    <w:abstractNumId w:val="3"/>
    <w:lvlOverride w:ilvl="0">
      <w:startOverride w:val="1"/>
    </w:lvlOverride>
  </w:num>
  <w:num w:numId="6" w16cid:durableId="608513415">
    <w:abstractNumId w:val="22"/>
  </w:num>
  <w:num w:numId="7" w16cid:durableId="2092924719">
    <w:abstractNumId w:val="18"/>
  </w:num>
  <w:num w:numId="8" w16cid:durableId="270630195">
    <w:abstractNumId w:val="5"/>
    <w:lvlOverride w:ilvl="0">
      <w:startOverride w:val="1"/>
    </w:lvlOverride>
  </w:num>
  <w:num w:numId="9" w16cid:durableId="637732154">
    <w:abstractNumId w:val="32"/>
    <w:lvlOverride w:ilvl="0">
      <w:startOverride w:val="1"/>
    </w:lvlOverride>
  </w:num>
  <w:num w:numId="10" w16cid:durableId="297227499">
    <w:abstractNumId w:val="21"/>
    <w:lvlOverride w:ilvl="0">
      <w:startOverride w:val="1"/>
    </w:lvlOverride>
  </w:num>
  <w:num w:numId="11" w16cid:durableId="44062807">
    <w:abstractNumId w:val="8"/>
  </w:num>
  <w:num w:numId="12" w16cid:durableId="232545903">
    <w:abstractNumId w:val="11"/>
    <w:lvlOverride w:ilvl="0">
      <w:startOverride w:val="1"/>
    </w:lvlOverride>
  </w:num>
  <w:num w:numId="13" w16cid:durableId="1658723937">
    <w:abstractNumId w:val="23"/>
  </w:num>
  <w:num w:numId="14" w16cid:durableId="1599948210">
    <w:abstractNumId w:val="2"/>
  </w:num>
  <w:num w:numId="15" w16cid:durableId="1975985367">
    <w:abstractNumId w:val="10"/>
    <w:lvlOverride w:ilvl="0">
      <w:startOverride w:val="1"/>
    </w:lvlOverride>
  </w:num>
  <w:num w:numId="16" w16cid:durableId="1018313926">
    <w:abstractNumId w:val="15"/>
  </w:num>
  <w:num w:numId="17" w16cid:durableId="2012944554">
    <w:abstractNumId w:val="29"/>
  </w:num>
  <w:num w:numId="18" w16cid:durableId="1561401185">
    <w:abstractNumId w:val="30"/>
  </w:num>
  <w:num w:numId="19" w16cid:durableId="1633486298">
    <w:abstractNumId w:val="25"/>
  </w:num>
  <w:num w:numId="20" w16cid:durableId="768738729">
    <w:abstractNumId w:val="19"/>
  </w:num>
  <w:num w:numId="21" w16cid:durableId="1882129635">
    <w:abstractNumId w:val="28"/>
  </w:num>
  <w:num w:numId="22" w16cid:durableId="998389908">
    <w:abstractNumId w:val="13"/>
  </w:num>
  <w:num w:numId="23" w16cid:durableId="972834954">
    <w:abstractNumId w:val="4"/>
  </w:num>
  <w:num w:numId="24" w16cid:durableId="1669552730">
    <w:abstractNumId w:val="0"/>
  </w:num>
  <w:num w:numId="25" w16cid:durableId="797527478">
    <w:abstractNumId w:val="31"/>
  </w:num>
  <w:num w:numId="26" w16cid:durableId="1457991771">
    <w:abstractNumId w:val="27"/>
  </w:num>
  <w:num w:numId="27" w16cid:durableId="1746797917">
    <w:abstractNumId w:val="33"/>
  </w:num>
  <w:num w:numId="28" w16cid:durableId="481821750">
    <w:abstractNumId w:val="16"/>
  </w:num>
  <w:num w:numId="29" w16cid:durableId="1280408693">
    <w:abstractNumId w:val="9"/>
  </w:num>
  <w:num w:numId="30" w16cid:durableId="434138468">
    <w:abstractNumId w:val="24"/>
  </w:num>
  <w:num w:numId="31" w16cid:durableId="1302661897">
    <w:abstractNumId w:val="17"/>
  </w:num>
  <w:num w:numId="32" w16cid:durableId="2004892825">
    <w:abstractNumId w:val="20"/>
  </w:num>
  <w:num w:numId="33" w16cid:durableId="1143960584">
    <w:abstractNumId w:val="12"/>
  </w:num>
  <w:num w:numId="34" w16cid:durableId="475336177">
    <w:abstractNumId w:val="14"/>
  </w:num>
  <w:num w:numId="35" w16cid:durableId="18276713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75B"/>
    <w:rsid w:val="000028D7"/>
    <w:rsid w:val="00003CA3"/>
    <w:rsid w:val="00006E65"/>
    <w:rsid w:val="000105CB"/>
    <w:rsid w:val="00012F7E"/>
    <w:rsid w:val="00015D41"/>
    <w:rsid w:val="000173BF"/>
    <w:rsid w:val="00036025"/>
    <w:rsid w:val="00037849"/>
    <w:rsid w:val="000423B3"/>
    <w:rsid w:val="00043553"/>
    <w:rsid w:val="00050E05"/>
    <w:rsid w:val="000510F9"/>
    <w:rsid w:val="00051C84"/>
    <w:rsid w:val="00060E57"/>
    <w:rsid w:val="0006172D"/>
    <w:rsid w:val="00063BB8"/>
    <w:rsid w:val="000644CE"/>
    <w:rsid w:val="000710AF"/>
    <w:rsid w:val="00075681"/>
    <w:rsid w:val="0007765A"/>
    <w:rsid w:val="00077902"/>
    <w:rsid w:val="00084A26"/>
    <w:rsid w:val="000963AE"/>
    <w:rsid w:val="000A192C"/>
    <w:rsid w:val="000A1995"/>
    <w:rsid w:val="000A271D"/>
    <w:rsid w:val="000A37FA"/>
    <w:rsid w:val="000B0935"/>
    <w:rsid w:val="000B3909"/>
    <w:rsid w:val="000D0B38"/>
    <w:rsid w:val="000D2390"/>
    <w:rsid w:val="000D6BD3"/>
    <w:rsid w:val="000D7570"/>
    <w:rsid w:val="000D7BDF"/>
    <w:rsid w:val="000E05FE"/>
    <w:rsid w:val="000E30ED"/>
    <w:rsid w:val="000E5E02"/>
    <w:rsid w:val="000F1F24"/>
    <w:rsid w:val="000F3067"/>
    <w:rsid w:val="000F3F4F"/>
    <w:rsid w:val="000F4306"/>
    <w:rsid w:val="000F7203"/>
    <w:rsid w:val="001006D6"/>
    <w:rsid w:val="0010152A"/>
    <w:rsid w:val="00103695"/>
    <w:rsid w:val="00106FED"/>
    <w:rsid w:val="00110975"/>
    <w:rsid w:val="00121663"/>
    <w:rsid w:val="00135D66"/>
    <w:rsid w:val="0014076B"/>
    <w:rsid w:val="00146A30"/>
    <w:rsid w:val="001612AF"/>
    <w:rsid w:val="00163B49"/>
    <w:rsid w:val="00166993"/>
    <w:rsid w:val="00170F36"/>
    <w:rsid w:val="00181E67"/>
    <w:rsid w:val="00184019"/>
    <w:rsid w:val="00197A9E"/>
    <w:rsid w:val="001A77A2"/>
    <w:rsid w:val="001A7F46"/>
    <w:rsid w:val="001B438D"/>
    <w:rsid w:val="001B70FC"/>
    <w:rsid w:val="001C1EAE"/>
    <w:rsid w:val="001C34E9"/>
    <w:rsid w:val="001C45E1"/>
    <w:rsid w:val="001D2E04"/>
    <w:rsid w:val="001E1DFA"/>
    <w:rsid w:val="001E23A5"/>
    <w:rsid w:val="001E5393"/>
    <w:rsid w:val="001E6714"/>
    <w:rsid w:val="001F0829"/>
    <w:rsid w:val="001F6C08"/>
    <w:rsid w:val="002033F7"/>
    <w:rsid w:val="00204D7F"/>
    <w:rsid w:val="002078F0"/>
    <w:rsid w:val="00216F06"/>
    <w:rsid w:val="002231ED"/>
    <w:rsid w:val="00225146"/>
    <w:rsid w:val="0023263A"/>
    <w:rsid w:val="002328E2"/>
    <w:rsid w:val="002405D7"/>
    <w:rsid w:val="0024341C"/>
    <w:rsid w:val="002463A4"/>
    <w:rsid w:val="002469CF"/>
    <w:rsid w:val="00260D56"/>
    <w:rsid w:val="00262E12"/>
    <w:rsid w:val="002751AF"/>
    <w:rsid w:val="0028180D"/>
    <w:rsid w:val="00285783"/>
    <w:rsid w:val="002B6137"/>
    <w:rsid w:val="002B730D"/>
    <w:rsid w:val="002C5258"/>
    <w:rsid w:val="002D2A1A"/>
    <w:rsid w:val="002E1BF4"/>
    <w:rsid w:val="002E374F"/>
    <w:rsid w:val="002E46FE"/>
    <w:rsid w:val="00302968"/>
    <w:rsid w:val="00313C93"/>
    <w:rsid w:val="00314E3B"/>
    <w:rsid w:val="00321F0D"/>
    <w:rsid w:val="0032326F"/>
    <w:rsid w:val="00340E6B"/>
    <w:rsid w:val="00345E50"/>
    <w:rsid w:val="003461E6"/>
    <w:rsid w:val="00353359"/>
    <w:rsid w:val="003604A9"/>
    <w:rsid w:val="0037089B"/>
    <w:rsid w:val="00374BA9"/>
    <w:rsid w:val="00376F28"/>
    <w:rsid w:val="00377B91"/>
    <w:rsid w:val="003800EC"/>
    <w:rsid w:val="00384B53"/>
    <w:rsid w:val="00391F13"/>
    <w:rsid w:val="00393142"/>
    <w:rsid w:val="003A6BA2"/>
    <w:rsid w:val="003A70BB"/>
    <w:rsid w:val="003B589D"/>
    <w:rsid w:val="003B5FEC"/>
    <w:rsid w:val="003C37C3"/>
    <w:rsid w:val="003E243C"/>
    <w:rsid w:val="003E5CFE"/>
    <w:rsid w:val="003E6EFF"/>
    <w:rsid w:val="003F1921"/>
    <w:rsid w:val="003F2C13"/>
    <w:rsid w:val="003F47A9"/>
    <w:rsid w:val="003F7074"/>
    <w:rsid w:val="00403A31"/>
    <w:rsid w:val="004201E6"/>
    <w:rsid w:val="00420BE1"/>
    <w:rsid w:val="0043167D"/>
    <w:rsid w:val="00444629"/>
    <w:rsid w:val="00452620"/>
    <w:rsid w:val="00455838"/>
    <w:rsid w:val="0047173A"/>
    <w:rsid w:val="0047363B"/>
    <w:rsid w:val="00473FDD"/>
    <w:rsid w:val="004751D8"/>
    <w:rsid w:val="004808B9"/>
    <w:rsid w:val="004850D3"/>
    <w:rsid w:val="00487152"/>
    <w:rsid w:val="004871C8"/>
    <w:rsid w:val="00490098"/>
    <w:rsid w:val="004906A8"/>
    <w:rsid w:val="00490890"/>
    <w:rsid w:val="0049199D"/>
    <w:rsid w:val="00493D6F"/>
    <w:rsid w:val="004971FB"/>
    <w:rsid w:val="004A2865"/>
    <w:rsid w:val="004A3AA8"/>
    <w:rsid w:val="004A4DAA"/>
    <w:rsid w:val="004A6E9A"/>
    <w:rsid w:val="004A7494"/>
    <w:rsid w:val="004A7511"/>
    <w:rsid w:val="004B0B69"/>
    <w:rsid w:val="004B2F0B"/>
    <w:rsid w:val="004B3E23"/>
    <w:rsid w:val="004B5AF7"/>
    <w:rsid w:val="004B7B0E"/>
    <w:rsid w:val="004C4535"/>
    <w:rsid w:val="004C6ACC"/>
    <w:rsid w:val="004D0E00"/>
    <w:rsid w:val="004D24B2"/>
    <w:rsid w:val="004D2814"/>
    <w:rsid w:val="004D4661"/>
    <w:rsid w:val="004F1015"/>
    <w:rsid w:val="004F63C2"/>
    <w:rsid w:val="00500FB6"/>
    <w:rsid w:val="00504127"/>
    <w:rsid w:val="0050455F"/>
    <w:rsid w:val="00507B01"/>
    <w:rsid w:val="00513028"/>
    <w:rsid w:val="00525217"/>
    <w:rsid w:val="00527791"/>
    <w:rsid w:val="00531D1F"/>
    <w:rsid w:val="0053410F"/>
    <w:rsid w:val="00534D26"/>
    <w:rsid w:val="00537285"/>
    <w:rsid w:val="005407DB"/>
    <w:rsid w:val="00544C01"/>
    <w:rsid w:val="005530CA"/>
    <w:rsid w:val="005546B0"/>
    <w:rsid w:val="00554E95"/>
    <w:rsid w:val="00565D63"/>
    <w:rsid w:val="005664C8"/>
    <w:rsid w:val="00566DE6"/>
    <w:rsid w:val="0056729F"/>
    <w:rsid w:val="00572871"/>
    <w:rsid w:val="00572F3E"/>
    <w:rsid w:val="0057361E"/>
    <w:rsid w:val="00575B54"/>
    <w:rsid w:val="00583564"/>
    <w:rsid w:val="00583948"/>
    <w:rsid w:val="005861D9"/>
    <w:rsid w:val="00591350"/>
    <w:rsid w:val="005924AA"/>
    <w:rsid w:val="00592D3F"/>
    <w:rsid w:val="00593749"/>
    <w:rsid w:val="005947FD"/>
    <w:rsid w:val="00595AFF"/>
    <w:rsid w:val="005A02B4"/>
    <w:rsid w:val="005B5475"/>
    <w:rsid w:val="005B57EA"/>
    <w:rsid w:val="005C63AF"/>
    <w:rsid w:val="005D045A"/>
    <w:rsid w:val="005D48D2"/>
    <w:rsid w:val="005D6D30"/>
    <w:rsid w:val="005E756E"/>
    <w:rsid w:val="005F07FC"/>
    <w:rsid w:val="005F0A2A"/>
    <w:rsid w:val="00610636"/>
    <w:rsid w:val="0061113D"/>
    <w:rsid w:val="00614666"/>
    <w:rsid w:val="0062056F"/>
    <w:rsid w:val="00627391"/>
    <w:rsid w:val="00635D48"/>
    <w:rsid w:val="00643852"/>
    <w:rsid w:val="00661FFE"/>
    <w:rsid w:val="0066492B"/>
    <w:rsid w:val="00672B8C"/>
    <w:rsid w:val="006811CE"/>
    <w:rsid w:val="0068722E"/>
    <w:rsid w:val="006936A0"/>
    <w:rsid w:val="00697069"/>
    <w:rsid w:val="00697C66"/>
    <w:rsid w:val="006A08C2"/>
    <w:rsid w:val="006A0E71"/>
    <w:rsid w:val="006B4C7B"/>
    <w:rsid w:val="006C035F"/>
    <w:rsid w:val="006C4803"/>
    <w:rsid w:val="006D3601"/>
    <w:rsid w:val="006D38B6"/>
    <w:rsid w:val="006D4FB5"/>
    <w:rsid w:val="006D6770"/>
    <w:rsid w:val="006E3150"/>
    <w:rsid w:val="006F29DA"/>
    <w:rsid w:val="006F6B70"/>
    <w:rsid w:val="0070446D"/>
    <w:rsid w:val="00704B19"/>
    <w:rsid w:val="00704DD3"/>
    <w:rsid w:val="00707C3C"/>
    <w:rsid w:val="00713BE3"/>
    <w:rsid w:val="00713DCC"/>
    <w:rsid w:val="00722596"/>
    <w:rsid w:val="00723FCF"/>
    <w:rsid w:val="00723FFB"/>
    <w:rsid w:val="00730226"/>
    <w:rsid w:val="007302A2"/>
    <w:rsid w:val="00737FB0"/>
    <w:rsid w:val="00742BF0"/>
    <w:rsid w:val="00756611"/>
    <w:rsid w:val="0076109E"/>
    <w:rsid w:val="0076688E"/>
    <w:rsid w:val="0076701F"/>
    <w:rsid w:val="00771485"/>
    <w:rsid w:val="00773190"/>
    <w:rsid w:val="00777174"/>
    <w:rsid w:val="00780FB8"/>
    <w:rsid w:val="0079470C"/>
    <w:rsid w:val="00795790"/>
    <w:rsid w:val="00797EBC"/>
    <w:rsid w:val="007A3BCC"/>
    <w:rsid w:val="007B1064"/>
    <w:rsid w:val="007B12DD"/>
    <w:rsid w:val="007B1358"/>
    <w:rsid w:val="007B7E10"/>
    <w:rsid w:val="007C4576"/>
    <w:rsid w:val="007C72C7"/>
    <w:rsid w:val="00806C90"/>
    <w:rsid w:val="008167AD"/>
    <w:rsid w:val="0082024F"/>
    <w:rsid w:val="00821047"/>
    <w:rsid w:val="00827BF6"/>
    <w:rsid w:val="008448B6"/>
    <w:rsid w:val="00851238"/>
    <w:rsid w:val="00852AD6"/>
    <w:rsid w:val="008564F3"/>
    <w:rsid w:val="00862C38"/>
    <w:rsid w:val="00863DD2"/>
    <w:rsid w:val="00882416"/>
    <w:rsid w:val="00883D86"/>
    <w:rsid w:val="00890A7C"/>
    <w:rsid w:val="008919EC"/>
    <w:rsid w:val="0089391D"/>
    <w:rsid w:val="008960D1"/>
    <w:rsid w:val="008A27BD"/>
    <w:rsid w:val="008A610A"/>
    <w:rsid w:val="008A6A45"/>
    <w:rsid w:val="008B2E22"/>
    <w:rsid w:val="008B7D3F"/>
    <w:rsid w:val="008C7CBD"/>
    <w:rsid w:val="008D14EA"/>
    <w:rsid w:val="008E6B21"/>
    <w:rsid w:val="00901737"/>
    <w:rsid w:val="009101F4"/>
    <w:rsid w:val="009108AA"/>
    <w:rsid w:val="00923052"/>
    <w:rsid w:val="0092377D"/>
    <w:rsid w:val="00932678"/>
    <w:rsid w:val="0093684A"/>
    <w:rsid w:val="00942B9E"/>
    <w:rsid w:val="00942E67"/>
    <w:rsid w:val="00944A53"/>
    <w:rsid w:val="00945864"/>
    <w:rsid w:val="009471BE"/>
    <w:rsid w:val="0095574E"/>
    <w:rsid w:val="00961DE3"/>
    <w:rsid w:val="009669DA"/>
    <w:rsid w:val="00980F82"/>
    <w:rsid w:val="00985102"/>
    <w:rsid w:val="009851E4"/>
    <w:rsid w:val="0099225E"/>
    <w:rsid w:val="009944F3"/>
    <w:rsid w:val="00994F05"/>
    <w:rsid w:val="009B10B7"/>
    <w:rsid w:val="009B6310"/>
    <w:rsid w:val="009C47D5"/>
    <w:rsid w:val="009C4ED9"/>
    <w:rsid w:val="009C593B"/>
    <w:rsid w:val="009E11E5"/>
    <w:rsid w:val="009F03EA"/>
    <w:rsid w:val="009F4676"/>
    <w:rsid w:val="009F4DFF"/>
    <w:rsid w:val="00A03587"/>
    <w:rsid w:val="00A1005D"/>
    <w:rsid w:val="00A12CEE"/>
    <w:rsid w:val="00A14F0A"/>
    <w:rsid w:val="00A150C5"/>
    <w:rsid w:val="00A151CF"/>
    <w:rsid w:val="00A156B4"/>
    <w:rsid w:val="00A251A5"/>
    <w:rsid w:val="00A35A07"/>
    <w:rsid w:val="00A412C9"/>
    <w:rsid w:val="00A653AB"/>
    <w:rsid w:val="00A66E61"/>
    <w:rsid w:val="00A715A5"/>
    <w:rsid w:val="00A74739"/>
    <w:rsid w:val="00A8503B"/>
    <w:rsid w:val="00A92C11"/>
    <w:rsid w:val="00A9767F"/>
    <w:rsid w:val="00AB3509"/>
    <w:rsid w:val="00AC6C34"/>
    <w:rsid w:val="00AD286F"/>
    <w:rsid w:val="00AD7E3F"/>
    <w:rsid w:val="00AE1B45"/>
    <w:rsid w:val="00AE431D"/>
    <w:rsid w:val="00AE5E83"/>
    <w:rsid w:val="00AF285E"/>
    <w:rsid w:val="00AF4FC7"/>
    <w:rsid w:val="00AF5E05"/>
    <w:rsid w:val="00B02934"/>
    <w:rsid w:val="00B03E45"/>
    <w:rsid w:val="00B1172E"/>
    <w:rsid w:val="00B2330E"/>
    <w:rsid w:val="00B24971"/>
    <w:rsid w:val="00B26637"/>
    <w:rsid w:val="00B26A43"/>
    <w:rsid w:val="00B31014"/>
    <w:rsid w:val="00B328DB"/>
    <w:rsid w:val="00B3683C"/>
    <w:rsid w:val="00B4260F"/>
    <w:rsid w:val="00B44577"/>
    <w:rsid w:val="00B45531"/>
    <w:rsid w:val="00B45EEE"/>
    <w:rsid w:val="00B51AB9"/>
    <w:rsid w:val="00B541BC"/>
    <w:rsid w:val="00B550AC"/>
    <w:rsid w:val="00B62980"/>
    <w:rsid w:val="00B6374B"/>
    <w:rsid w:val="00B6469E"/>
    <w:rsid w:val="00B72C48"/>
    <w:rsid w:val="00B7376F"/>
    <w:rsid w:val="00B83D91"/>
    <w:rsid w:val="00BA62F3"/>
    <w:rsid w:val="00BC3689"/>
    <w:rsid w:val="00BD2DD3"/>
    <w:rsid w:val="00BD5593"/>
    <w:rsid w:val="00BE4260"/>
    <w:rsid w:val="00C1175B"/>
    <w:rsid w:val="00C15993"/>
    <w:rsid w:val="00C208A7"/>
    <w:rsid w:val="00C2407C"/>
    <w:rsid w:val="00C26B48"/>
    <w:rsid w:val="00C34765"/>
    <w:rsid w:val="00C42243"/>
    <w:rsid w:val="00C51939"/>
    <w:rsid w:val="00C671A4"/>
    <w:rsid w:val="00C6787A"/>
    <w:rsid w:val="00C733E6"/>
    <w:rsid w:val="00C80736"/>
    <w:rsid w:val="00C8211F"/>
    <w:rsid w:val="00C82AB4"/>
    <w:rsid w:val="00C8405C"/>
    <w:rsid w:val="00C91920"/>
    <w:rsid w:val="00C91AA3"/>
    <w:rsid w:val="00C951B3"/>
    <w:rsid w:val="00C951D2"/>
    <w:rsid w:val="00CA21F5"/>
    <w:rsid w:val="00CA2575"/>
    <w:rsid w:val="00CB2C58"/>
    <w:rsid w:val="00CC3C5E"/>
    <w:rsid w:val="00CC53DE"/>
    <w:rsid w:val="00CC6EB8"/>
    <w:rsid w:val="00CE39D7"/>
    <w:rsid w:val="00CF629E"/>
    <w:rsid w:val="00D04F85"/>
    <w:rsid w:val="00D07285"/>
    <w:rsid w:val="00D07F2F"/>
    <w:rsid w:val="00D16FBC"/>
    <w:rsid w:val="00D251F3"/>
    <w:rsid w:val="00D26087"/>
    <w:rsid w:val="00D2661D"/>
    <w:rsid w:val="00D35D6F"/>
    <w:rsid w:val="00D423D3"/>
    <w:rsid w:val="00D47268"/>
    <w:rsid w:val="00D47745"/>
    <w:rsid w:val="00D50947"/>
    <w:rsid w:val="00D52E12"/>
    <w:rsid w:val="00D573EE"/>
    <w:rsid w:val="00D63668"/>
    <w:rsid w:val="00D64D4F"/>
    <w:rsid w:val="00D705AB"/>
    <w:rsid w:val="00D7125E"/>
    <w:rsid w:val="00D71B3C"/>
    <w:rsid w:val="00D768EA"/>
    <w:rsid w:val="00D86249"/>
    <w:rsid w:val="00D87B73"/>
    <w:rsid w:val="00DA0876"/>
    <w:rsid w:val="00DA0DA2"/>
    <w:rsid w:val="00DB0FD7"/>
    <w:rsid w:val="00DC0E39"/>
    <w:rsid w:val="00DD4115"/>
    <w:rsid w:val="00DD4F10"/>
    <w:rsid w:val="00DD6805"/>
    <w:rsid w:val="00DD6B7E"/>
    <w:rsid w:val="00DE6DAD"/>
    <w:rsid w:val="00E041ED"/>
    <w:rsid w:val="00E0613C"/>
    <w:rsid w:val="00E10037"/>
    <w:rsid w:val="00E1353D"/>
    <w:rsid w:val="00E179DC"/>
    <w:rsid w:val="00E2250F"/>
    <w:rsid w:val="00E31188"/>
    <w:rsid w:val="00E3118B"/>
    <w:rsid w:val="00E333E3"/>
    <w:rsid w:val="00E34F00"/>
    <w:rsid w:val="00E4060C"/>
    <w:rsid w:val="00E54D9D"/>
    <w:rsid w:val="00E6118F"/>
    <w:rsid w:val="00E6222C"/>
    <w:rsid w:val="00E67C9D"/>
    <w:rsid w:val="00E75848"/>
    <w:rsid w:val="00E91EAE"/>
    <w:rsid w:val="00EA57F8"/>
    <w:rsid w:val="00EB3BC5"/>
    <w:rsid w:val="00EB4F39"/>
    <w:rsid w:val="00EB640A"/>
    <w:rsid w:val="00EB6485"/>
    <w:rsid w:val="00EE1B06"/>
    <w:rsid w:val="00EE3B6D"/>
    <w:rsid w:val="00EE63B9"/>
    <w:rsid w:val="00EF3A44"/>
    <w:rsid w:val="00F01909"/>
    <w:rsid w:val="00F10407"/>
    <w:rsid w:val="00F1130B"/>
    <w:rsid w:val="00F209D5"/>
    <w:rsid w:val="00F21855"/>
    <w:rsid w:val="00F30994"/>
    <w:rsid w:val="00F32F7B"/>
    <w:rsid w:val="00F35B93"/>
    <w:rsid w:val="00F36B00"/>
    <w:rsid w:val="00F51B4C"/>
    <w:rsid w:val="00F52B17"/>
    <w:rsid w:val="00F52F75"/>
    <w:rsid w:val="00F62337"/>
    <w:rsid w:val="00F64A45"/>
    <w:rsid w:val="00F64D1E"/>
    <w:rsid w:val="00F705FB"/>
    <w:rsid w:val="00F711B2"/>
    <w:rsid w:val="00F80213"/>
    <w:rsid w:val="00F8163F"/>
    <w:rsid w:val="00F83159"/>
    <w:rsid w:val="00F90858"/>
    <w:rsid w:val="00FB2BFA"/>
    <w:rsid w:val="00FB580D"/>
    <w:rsid w:val="00FC2605"/>
    <w:rsid w:val="00FC6A17"/>
    <w:rsid w:val="00FF64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6D8D5"/>
  <w15:chartTrackingRefBased/>
  <w15:docId w15:val="{B56DC5C7-0AB4-4CA5-AF2B-240ED6924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75B"/>
    <w:pPr>
      <w:spacing w:after="0" w:line="240" w:lineRule="auto"/>
    </w:pPr>
    <w:rPr>
      <w:rFonts w:ascii="Arial" w:eastAsia="Arial" w:hAnsi="Arial" w:cs="Arial"/>
      <w:kern w:val="0"/>
      <w:sz w:val="22"/>
      <w:szCs w:val="22"/>
      <w:lang w:val="es-PA"/>
      <w14:ligatures w14:val="none"/>
    </w:rPr>
  </w:style>
  <w:style w:type="paragraph" w:styleId="Ttulo1">
    <w:name w:val="heading 1"/>
    <w:basedOn w:val="Normal"/>
    <w:next w:val="Normal"/>
    <w:link w:val="Ttulo1Car"/>
    <w:uiPriority w:val="9"/>
    <w:qFormat/>
    <w:rsid w:val="00797E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797E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797EB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97EB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97EB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97EBC"/>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97EBC"/>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97EBC"/>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97EBC"/>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97EB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97EB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97EB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97EB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97EB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97EB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97EB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97EB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97EBC"/>
    <w:rPr>
      <w:rFonts w:eastAsiaTheme="majorEastAsia" w:cstheme="majorBidi"/>
      <w:color w:val="272727" w:themeColor="text1" w:themeTint="D8"/>
    </w:rPr>
  </w:style>
  <w:style w:type="paragraph" w:styleId="Ttulo">
    <w:name w:val="Title"/>
    <w:basedOn w:val="Normal"/>
    <w:next w:val="Normal"/>
    <w:link w:val="TtuloCar"/>
    <w:uiPriority w:val="10"/>
    <w:qFormat/>
    <w:rsid w:val="00797EBC"/>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97EB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97EB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97EB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97EBC"/>
    <w:pPr>
      <w:spacing w:before="160"/>
      <w:jc w:val="center"/>
    </w:pPr>
    <w:rPr>
      <w:i/>
      <w:iCs/>
      <w:color w:val="404040" w:themeColor="text1" w:themeTint="BF"/>
    </w:rPr>
  </w:style>
  <w:style w:type="character" w:customStyle="1" w:styleId="CitaCar">
    <w:name w:val="Cita Car"/>
    <w:basedOn w:val="Fuentedeprrafopredeter"/>
    <w:link w:val="Cita"/>
    <w:uiPriority w:val="29"/>
    <w:rsid w:val="00797EBC"/>
    <w:rPr>
      <w:i/>
      <w:iCs/>
      <w:color w:val="404040" w:themeColor="text1" w:themeTint="BF"/>
    </w:rPr>
  </w:style>
  <w:style w:type="paragraph" w:styleId="Prrafodelista">
    <w:name w:val="List Paragraph"/>
    <w:basedOn w:val="Normal"/>
    <w:qFormat/>
    <w:rsid w:val="00797EBC"/>
    <w:pPr>
      <w:ind w:left="720"/>
      <w:contextualSpacing/>
    </w:pPr>
  </w:style>
  <w:style w:type="character" w:styleId="nfasisintenso">
    <w:name w:val="Intense Emphasis"/>
    <w:basedOn w:val="Fuentedeprrafopredeter"/>
    <w:uiPriority w:val="21"/>
    <w:qFormat/>
    <w:rsid w:val="00797EBC"/>
    <w:rPr>
      <w:i/>
      <w:iCs/>
      <w:color w:val="0F4761" w:themeColor="accent1" w:themeShade="BF"/>
    </w:rPr>
  </w:style>
  <w:style w:type="paragraph" w:styleId="Citadestacada">
    <w:name w:val="Intense Quote"/>
    <w:basedOn w:val="Normal"/>
    <w:next w:val="Normal"/>
    <w:link w:val="CitadestacadaCar"/>
    <w:uiPriority w:val="30"/>
    <w:qFormat/>
    <w:rsid w:val="00797E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97EBC"/>
    <w:rPr>
      <w:i/>
      <w:iCs/>
      <w:color w:val="0F4761" w:themeColor="accent1" w:themeShade="BF"/>
    </w:rPr>
  </w:style>
  <w:style w:type="character" w:styleId="Referenciaintensa">
    <w:name w:val="Intense Reference"/>
    <w:basedOn w:val="Fuentedeprrafopredeter"/>
    <w:uiPriority w:val="32"/>
    <w:qFormat/>
    <w:rsid w:val="00797EBC"/>
    <w:rPr>
      <w:b/>
      <w:bCs/>
      <w:smallCaps/>
      <w:color w:val="0F4761" w:themeColor="accent1" w:themeShade="BF"/>
      <w:spacing w:val="5"/>
    </w:rPr>
  </w:style>
  <w:style w:type="paragraph" w:styleId="Encabezado">
    <w:name w:val="header"/>
    <w:basedOn w:val="Normal"/>
    <w:link w:val="EncabezadoCar"/>
    <w:uiPriority w:val="99"/>
    <w:unhideWhenUsed/>
    <w:rsid w:val="00797EBC"/>
    <w:pPr>
      <w:tabs>
        <w:tab w:val="center" w:pos="4680"/>
        <w:tab w:val="right" w:pos="9360"/>
      </w:tabs>
    </w:pPr>
  </w:style>
  <w:style w:type="character" w:customStyle="1" w:styleId="EncabezadoCar">
    <w:name w:val="Encabezado Car"/>
    <w:basedOn w:val="Fuentedeprrafopredeter"/>
    <w:link w:val="Encabezado"/>
    <w:uiPriority w:val="99"/>
    <w:rsid w:val="00797EBC"/>
  </w:style>
  <w:style w:type="paragraph" w:styleId="Piedepgina">
    <w:name w:val="footer"/>
    <w:basedOn w:val="Normal"/>
    <w:link w:val="PiedepginaCar"/>
    <w:uiPriority w:val="99"/>
    <w:unhideWhenUsed/>
    <w:rsid w:val="00797EBC"/>
    <w:pPr>
      <w:tabs>
        <w:tab w:val="center" w:pos="4680"/>
        <w:tab w:val="right" w:pos="9360"/>
      </w:tabs>
    </w:pPr>
  </w:style>
  <w:style w:type="character" w:customStyle="1" w:styleId="PiedepginaCar">
    <w:name w:val="Pie de página Car"/>
    <w:basedOn w:val="Fuentedeprrafopredeter"/>
    <w:link w:val="Piedepgina"/>
    <w:uiPriority w:val="99"/>
    <w:rsid w:val="00797EBC"/>
  </w:style>
  <w:style w:type="table" w:styleId="Tablaconcuadrcula">
    <w:name w:val="Table Grid"/>
    <w:basedOn w:val="Tablanormal"/>
    <w:uiPriority w:val="39"/>
    <w:rsid w:val="00797E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rong1">
    <w:name w:val="Strong1"/>
    <w:qFormat/>
    <w:rsid w:val="00C1175B"/>
    <w:pPr>
      <w:spacing w:after="0" w:line="240" w:lineRule="auto"/>
    </w:pPr>
    <w:rPr>
      <w:rFonts w:ascii="Arial" w:eastAsia="Arial" w:hAnsi="Arial" w:cs="Arial"/>
      <w:b/>
      <w:bCs/>
      <w:kern w:val="0"/>
      <w:sz w:val="22"/>
      <w:szCs w:val="22"/>
      <w14:ligatures w14:val="none"/>
    </w:rPr>
  </w:style>
  <w:style w:type="character" w:styleId="Hipervnculo">
    <w:name w:val="Hyperlink"/>
    <w:uiPriority w:val="99"/>
    <w:unhideWhenUsed/>
    <w:rsid w:val="00C1175B"/>
    <w:rPr>
      <w:color w:val="0563C1"/>
      <w:u w:val="single"/>
    </w:rPr>
  </w:style>
  <w:style w:type="character" w:styleId="Refdenotaalpie">
    <w:name w:val="footnote reference"/>
    <w:uiPriority w:val="99"/>
    <w:semiHidden/>
    <w:unhideWhenUsed/>
    <w:rsid w:val="00C1175B"/>
    <w:rPr>
      <w:vertAlign w:val="superscript"/>
    </w:rPr>
  </w:style>
  <w:style w:type="paragraph" w:styleId="Textonotapie">
    <w:name w:val="footnote text"/>
    <w:link w:val="TextonotapieCar"/>
    <w:uiPriority w:val="99"/>
    <w:semiHidden/>
    <w:unhideWhenUsed/>
    <w:rsid w:val="00C1175B"/>
    <w:pPr>
      <w:spacing w:after="0" w:line="240" w:lineRule="auto"/>
    </w:pPr>
    <w:rPr>
      <w:rFonts w:ascii="Arial" w:eastAsia="Arial" w:hAnsi="Arial" w:cs="Arial"/>
      <w:kern w:val="0"/>
      <w:sz w:val="20"/>
      <w:szCs w:val="20"/>
      <w14:ligatures w14:val="none"/>
    </w:rPr>
  </w:style>
  <w:style w:type="character" w:customStyle="1" w:styleId="TextonotapieCar">
    <w:name w:val="Texto nota pie Car"/>
    <w:basedOn w:val="Fuentedeprrafopredeter"/>
    <w:link w:val="Textonotapie"/>
    <w:uiPriority w:val="99"/>
    <w:semiHidden/>
    <w:rsid w:val="00C1175B"/>
    <w:rPr>
      <w:rFonts w:ascii="Arial" w:eastAsia="Arial" w:hAnsi="Arial" w:cs="Arial"/>
      <w:kern w:val="0"/>
      <w:sz w:val="20"/>
      <w:szCs w:val="20"/>
      <w14:ligatures w14:val="none"/>
    </w:rPr>
  </w:style>
  <w:style w:type="paragraph" w:styleId="TDC1">
    <w:name w:val="toc 1"/>
    <w:basedOn w:val="Normal"/>
    <w:next w:val="Normal"/>
    <w:autoRedefine/>
    <w:uiPriority w:val="39"/>
    <w:unhideWhenUsed/>
    <w:rsid w:val="00C1175B"/>
    <w:pPr>
      <w:spacing w:after="100"/>
    </w:pPr>
  </w:style>
  <w:style w:type="paragraph" w:styleId="TDC2">
    <w:name w:val="toc 2"/>
    <w:basedOn w:val="Normal"/>
    <w:next w:val="Normal"/>
    <w:autoRedefine/>
    <w:uiPriority w:val="39"/>
    <w:unhideWhenUsed/>
    <w:rsid w:val="00C1175B"/>
    <w:pPr>
      <w:spacing w:after="100"/>
      <w:ind w:left="220"/>
    </w:pPr>
  </w:style>
  <w:style w:type="paragraph" w:styleId="TDC3">
    <w:name w:val="toc 3"/>
    <w:basedOn w:val="Normal"/>
    <w:next w:val="Normal"/>
    <w:autoRedefine/>
    <w:uiPriority w:val="39"/>
    <w:unhideWhenUsed/>
    <w:rsid w:val="00C1175B"/>
    <w:pPr>
      <w:spacing w:after="100"/>
      <w:ind w:left="440"/>
    </w:pPr>
  </w:style>
  <w:style w:type="character" w:styleId="Mencinsinresolver">
    <w:name w:val="Unresolved Mention"/>
    <w:basedOn w:val="Fuentedeprrafopredeter"/>
    <w:uiPriority w:val="99"/>
    <w:semiHidden/>
    <w:unhideWhenUsed/>
    <w:rsid w:val="00D423D3"/>
    <w:rPr>
      <w:color w:val="605E5C"/>
      <w:shd w:val="clear" w:color="auto" w:fill="E1DFDD"/>
    </w:rPr>
  </w:style>
  <w:style w:type="character" w:styleId="Hipervnculovisitado">
    <w:name w:val="FollowedHyperlink"/>
    <w:basedOn w:val="Fuentedeprrafopredeter"/>
    <w:uiPriority w:val="99"/>
    <w:semiHidden/>
    <w:unhideWhenUsed/>
    <w:rsid w:val="00D423D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OneDrive%20-%20Xhispaz%20SA\Documents\Custom%20Office%20Templates\Membrete-C-TASC%20AIP-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EB2B788C42EBF4B8860884F4E4F7513" ma:contentTypeVersion="11" ma:contentTypeDescription="Crear nuevo documento." ma:contentTypeScope="" ma:versionID="9cc5f1f6585c4e07dd6b82f20ff3b2e4">
  <xsd:schema xmlns:xsd="http://www.w3.org/2001/XMLSchema" xmlns:xs="http://www.w3.org/2001/XMLSchema" xmlns:p="http://schemas.microsoft.com/office/2006/metadata/properties" xmlns:ns2="e4038bfa-5ead-4356-b819-b13df5b91763" xmlns:ns3="291acad2-774f-428a-a94f-4777b6dd3f17" targetNamespace="http://schemas.microsoft.com/office/2006/metadata/properties" ma:root="true" ma:fieldsID="c1fe93455dde46445855f4f6a067620b" ns2:_="" ns3:_="">
    <xsd:import namespace="e4038bfa-5ead-4356-b819-b13df5b91763"/>
    <xsd:import namespace="291acad2-774f-428a-a94f-4777b6dd3f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038bfa-5ead-4356-b819-b13df5b917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b2d6c11-aef1-4a5b-a6f2-8681fcdc4eb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1acad2-774f-428a-a94f-4777b6dd3f1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77b6343-c6d9-4029-9578-f691830b3988}" ma:internalName="TaxCatchAll" ma:showField="CatchAllData" ma:web="291acad2-774f-428a-a94f-4777b6dd3f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4038bfa-5ead-4356-b819-b13df5b91763">
      <Terms xmlns="http://schemas.microsoft.com/office/infopath/2007/PartnerControls"/>
    </lcf76f155ced4ddcb4097134ff3c332f>
    <TaxCatchAll xmlns="291acad2-774f-428a-a94f-4777b6dd3f1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AB2B14-2AB3-400A-9F12-C36EC5118D5D}"/>
</file>

<file path=customXml/itemProps2.xml><?xml version="1.0" encoding="utf-8"?>
<ds:datastoreItem xmlns:ds="http://schemas.openxmlformats.org/officeDocument/2006/customXml" ds:itemID="{7B781CC5-68D8-4DE2-A946-0233517B843D}">
  <ds:schemaRefs>
    <ds:schemaRef ds:uri="http://schemas.microsoft.com/office/2006/metadata/properties"/>
    <ds:schemaRef ds:uri="http://schemas.microsoft.com/office/infopath/2007/PartnerControls"/>
    <ds:schemaRef ds:uri="72197367-0a96-4150-8dd9-77ba8de67ea9"/>
  </ds:schemaRefs>
</ds:datastoreItem>
</file>

<file path=customXml/itemProps3.xml><?xml version="1.0" encoding="utf-8"?>
<ds:datastoreItem xmlns:ds="http://schemas.openxmlformats.org/officeDocument/2006/customXml" ds:itemID="{5FF4F95F-E7EA-4A7E-B934-2F729DBF8C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Membrete-C-TASC AIP-2</Template>
  <TotalTime>6</TotalTime>
  <Pages>6</Pages>
  <Words>2395</Words>
  <Characters>13176</Characters>
  <Application>Microsoft Office Word</Application>
  <DocSecurity>0</DocSecurity>
  <Lines>109</Lines>
  <Paragraphs>31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Dominique Vervin</dc:creator>
  <cp:keywords/>
  <dc:description/>
  <cp:lastModifiedBy>Sara Solis</cp:lastModifiedBy>
  <cp:revision>5</cp:revision>
  <cp:lastPrinted>2026-02-23T20:54:00Z</cp:lastPrinted>
  <dcterms:created xsi:type="dcterms:W3CDTF">2026-09-16T20:53:00Z</dcterms:created>
  <dcterms:modified xsi:type="dcterms:W3CDTF">2026-09-17T21:22:00Z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0x010100BEB2B788C42EBF4B8860884F4E4F7513</vt:lpwstr>
  </property>
</Properties>
</file>